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226CF" w14:textId="77777777" w:rsidR="000B1D94" w:rsidRDefault="000B1D94" w:rsidP="000B1D94">
      <w:pPr>
        <w:pStyle w:val="Heading1"/>
        <w:jc w:val="center"/>
        <w:rPr>
          <w:rFonts w:ascii="Times New Roman" w:hAnsi="Times New Roman" w:cs="Times New Roman"/>
          <w:color w:val="auto"/>
          <w:sz w:val="24"/>
          <w:szCs w:val="24"/>
        </w:rPr>
      </w:pPr>
      <w:bookmarkStart w:id="0" w:name="_Toc370986156"/>
      <w:bookmarkStart w:id="1" w:name="_Toc372750541"/>
      <w:r w:rsidRPr="000B1D94">
        <w:rPr>
          <w:rFonts w:ascii="Times New Roman" w:hAnsi="Times New Roman" w:cs="Times New Roman"/>
          <w:color w:val="auto"/>
          <w:sz w:val="24"/>
          <w:szCs w:val="24"/>
        </w:rPr>
        <w:t>CHAPTER II</w:t>
      </w:r>
      <w:r w:rsidRPr="000B1D94">
        <w:rPr>
          <w:rFonts w:ascii="Times New Roman" w:hAnsi="Times New Roman" w:cs="Times New Roman"/>
          <w:color w:val="auto"/>
          <w:sz w:val="24"/>
          <w:szCs w:val="24"/>
        </w:rPr>
        <w:br/>
        <w:t>REVIEW OF RELATED LITERATURE</w:t>
      </w:r>
      <w:bookmarkEnd w:id="0"/>
      <w:bookmarkEnd w:id="1"/>
    </w:p>
    <w:p w14:paraId="0E370D50" w14:textId="77777777" w:rsidR="000B1D94" w:rsidRPr="000B1D94" w:rsidRDefault="000B1D94" w:rsidP="000B1D94"/>
    <w:p w14:paraId="6D87A9BD" w14:textId="77777777" w:rsidR="000B1D94" w:rsidRPr="000B1D94" w:rsidRDefault="000B1D94" w:rsidP="000B1D94">
      <w:pPr>
        <w:pStyle w:val="Heading2"/>
        <w:numPr>
          <w:ilvl w:val="1"/>
          <w:numId w:val="4"/>
        </w:numPr>
        <w:spacing w:line="480" w:lineRule="auto"/>
        <w:ind w:left="450" w:hanging="450"/>
        <w:rPr>
          <w:rFonts w:ascii="Times New Roman" w:hAnsi="Times New Roman" w:cs="Times New Roman"/>
          <w:color w:val="auto"/>
          <w:sz w:val="24"/>
          <w:szCs w:val="24"/>
        </w:rPr>
      </w:pPr>
      <w:bookmarkStart w:id="2" w:name="_Toc370986157"/>
      <w:bookmarkStart w:id="3" w:name="_Toc372750542"/>
      <w:r w:rsidRPr="000B1D94">
        <w:rPr>
          <w:rFonts w:ascii="Times New Roman" w:hAnsi="Times New Roman" w:cs="Times New Roman"/>
          <w:color w:val="auto"/>
          <w:sz w:val="24"/>
          <w:szCs w:val="24"/>
        </w:rPr>
        <w:t>General Remarks</w:t>
      </w:r>
      <w:bookmarkEnd w:id="2"/>
      <w:bookmarkEnd w:id="3"/>
    </w:p>
    <w:p w14:paraId="0887B000" w14:textId="77777777" w:rsidR="000B1D94" w:rsidRPr="000B1D94" w:rsidRDefault="000B1D94" w:rsidP="000B1D94">
      <w:pPr>
        <w:spacing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t>Learning English is very important to be learned by students of Indonesia. The importance could be seen from the fact that English is the language mostly used in international communication. As an international language, many people use it. Another fact of the importance of English is that many occupations require people who have an English competence. It’s very important to start learning English as early as possible. In reality, teaching English to student is not easy. There are many problems occur during the process since English is a new language for them. The problems also happen in the students are less motivated in studying English. They feel that learning English is difficult.</w:t>
      </w:r>
    </w:p>
    <w:p w14:paraId="587798AF" w14:textId="77777777" w:rsidR="000B1D94" w:rsidRPr="000B1D94" w:rsidRDefault="000B1D94" w:rsidP="000B1D94">
      <w:pPr>
        <w:spacing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t>Motivation is a theoretical construct used to explain the initiation, direction, intensity, persistence, and quality of behavior, especially goal-directed be</w:t>
      </w:r>
      <w:r w:rsidRPr="000B1D94">
        <w:rPr>
          <w:rFonts w:ascii="Times New Roman" w:hAnsi="Times New Roman" w:cs="Times New Roman"/>
          <w:sz w:val="24"/>
          <w:szCs w:val="24"/>
        </w:rPr>
        <w:softHyphen/>
        <w:t>havior (Maehr &amp; Meyer, 1997). Motivation is an important thing that should always be maintained and improved by teacher and students during learning activities. Mc. Donald in Hamalik (2010) explains motivation as an energy change within the person characterized by effective arousal and anticipatory goal reaction. Then, motivation cannot be separated from process of learning. Without motivation, the students don’t have spirit and desire to learn well and effectively.</w:t>
      </w:r>
    </w:p>
    <w:p w14:paraId="7F29639D" w14:textId="77777777" w:rsidR="000B1D94" w:rsidRPr="000B1D94" w:rsidRDefault="000B1D94" w:rsidP="000B1D94">
      <w:pPr>
        <w:spacing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lastRenderedPageBreak/>
        <w:t>Good communication between students and teacher is the key to make students feel motivated in learning English. What the teachers talk and how the teachers act give great influence for students in doing learning activities. When students receive information from teachers, they are not only notice the words that delivered by teachers but also the teacher performance from the clothes worn, their facial expression, the voice intonation, the body movement, until the space between teacher and students. The teacher nonverbal communication will affect the capabilities of students in receiving and comprehending the material.</w:t>
      </w:r>
    </w:p>
    <w:p w14:paraId="71DF6968" w14:textId="77777777" w:rsidR="000B1D94" w:rsidRPr="000B1D94" w:rsidRDefault="000B1D94" w:rsidP="000B1D94">
      <w:pPr>
        <w:spacing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t>Nonverbal communication is the first thing that can be done by the newly born baby. He communicates with his mother and the environment nonverbally. He just can cry when he is hungry, feels uncomfortable, or needs a help. On the other hand, his mother can understand what the message delivered by her baby although just through a cry. This fact shows that nonverbal communication is a vital aspect of communication not only in daily communication in our environment, but also in the class when learning process happens.</w:t>
      </w:r>
    </w:p>
    <w:p w14:paraId="22DB9FDD" w14:textId="77777777" w:rsidR="000B1D94" w:rsidRPr="000B1D94" w:rsidRDefault="000B1D94" w:rsidP="000B1D94">
      <w:pPr>
        <w:spacing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t>In this research the writer divides this chapter into several parts, they are: learning motivation, nonverbal communication and the relationship between teacher immediacy and students’ motivation.</w:t>
      </w:r>
    </w:p>
    <w:p w14:paraId="5E90961C" w14:textId="77777777" w:rsidR="000B1D94" w:rsidRPr="000B1D94" w:rsidRDefault="000B1D94" w:rsidP="000B1D94">
      <w:pPr>
        <w:spacing w:line="480" w:lineRule="auto"/>
        <w:jc w:val="both"/>
        <w:rPr>
          <w:rFonts w:ascii="Times New Roman" w:hAnsi="Times New Roman" w:cs="Times New Roman"/>
          <w:sz w:val="24"/>
          <w:szCs w:val="24"/>
        </w:rPr>
        <w:sectPr w:rsidR="000B1D94" w:rsidRPr="000B1D94" w:rsidSect="00990DBA">
          <w:headerReference w:type="first" r:id="rId6"/>
          <w:footerReference w:type="first" r:id="rId7"/>
          <w:pgSz w:w="12240" w:h="15840"/>
          <w:pgMar w:top="2275" w:right="1699" w:bottom="1699" w:left="2275" w:header="720" w:footer="720" w:gutter="0"/>
          <w:cols w:space="720"/>
          <w:titlePg/>
          <w:docGrid w:linePitch="360"/>
        </w:sectPr>
      </w:pPr>
    </w:p>
    <w:p w14:paraId="6BDB8C2E" w14:textId="77777777" w:rsidR="000B1D94" w:rsidRPr="000B1D94" w:rsidRDefault="000B1D94" w:rsidP="000B1D94">
      <w:pPr>
        <w:pStyle w:val="Heading2"/>
        <w:numPr>
          <w:ilvl w:val="1"/>
          <w:numId w:val="4"/>
        </w:numPr>
        <w:spacing w:line="480" w:lineRule="auto"/>
        <w:ind w:left="450" w:hanging="450"/>
        <w:jc w:val="both"/>
        <w:rPr>
          <w:rFonts w:ascii="Times New Roman" w:hAnsi="Times New Roman" w:cs="Times New Roman"/>
          <w:color w:val="auto"/>
          <w:sz w:val="24"/>
          <w:szCs w:val="24"/>
        </w:rPr>
      </w:pPr>
      <w:bookmarkStart w:id="4" w:name="_Toc370986158"/>
      <w:bookmarkStart w:id="5" w:name="_Toc372750543"/>
      <w:r w:rsidRPr="000B1D94">
        <w:rPr>
          <w:rFonts w:ascii="Times New Roman" w:hAnsi="Times New Roman" w:cs="Times New Roman"/>
          <w:color w:val="auto"/>
          <w:sz w:val="24"/>
          <w:szCs w:val="24"/>
        </w:rPr>
        <w:t>Learning Motivation</w:t>
      </w:r>
      <w:bookmarkEnd w:id="4"/>
      <w:bookmarkEnd w:id="5"/>
    </w:p>
    <w:p w14:paraId="609DC302"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When we do something, we certainly have the cause or the objective of doing an action. Without having the desire to do something, we will do nothing. When students feel having no objective and desire in learning, they will not do learning activity well. So, motivation is a very important thing for students in order they can learn well.</w:t>
      </w:r>
    </w:p>
    <w:p w14:paraId="1F4F1F23"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Learning motivation will drive the students to learn hard and well. The students are not machine that can be programmed by us to do what we want. The students have to be able to operate their brain well when they learn something. They should have spirit and objective to make them learn hard.</w:t>
      </w:r>
    </w:p>
    <w:p w14:paraId="396A3B69" w14:textId="77777777" w:rsidR="000B1D94" w:rsidRPr="000B1D94" w:rsidRDefault="000B1D94" w:rsidP="000B1D94">
      <w:pPr>
        <w:pStyle w:val="Heading3"/>
        <w:numPr>
          <w:ilvl w:val="2"/>
          <w:numId w:val="4"/>
        </w:numPr>
        <w:spacing w:line="480" w:lineRule="auto"/>
        <w:ind w:left="450" w:hanging="450"/>
        <w:jc w:val="both"/>
        <w:rPr>
          <w:rFonts w:ascii="Times New Roman" w:hAnsi="Times New Roman" w:cs="Times New Roman"/>
          <w:color w:val="auto"/>
        </w:rPr>
      </w:pPr>
      <w:r w:rsidRPr="000B1D94">
        <w:rPr>
          <w:rFonts w:ascii="Times New Roman" w:hAnsi="Times New Roman" w:cs="Times New Roman"/>
          <w:color w:val="auto"/>
        </w:rPr>
        <w:t xml:space="preserve"> </w:t>
      </w:r>
      <w:bookmarkStart w:id="6" w:name="_Toc370986159"/>
      <w:bookmarkStart w:id="7" w:name="_Toc372750544"/>
      <w:r w:rsidRPr="000B1D94">
        <w:rPr>
          <w:rFonts w:ascii="Times New Roman" w:hAnsi="Times New Roman" w:cs="Times New Roman"/>
          <w:color w:val="auto"/>
        </w:rPr>
        <w:t>Definition of Motivation</w:t>
      </w:r>
      <w:bookmarkEnd w:id="6"/>
      <w:bookmarkEnd w:id="7"/>
    </w:p>
    <w:p w14:paraId="3B75FFBD"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z w:val="24"/>
          <w:szCs w:val="24"/>
          <w14:ligatures w14:val="standard"/>
        </w:rPr>
      </w:pPr>
      <w:r w:rsidRPr="000B1D94">
        <w:rPr>
          <w:rFonts w:ascii="Times New Roman" w:hAnsi="Times New Roman" w:cs="Times New Roman"/>
          <w:sz w:val="24"/>
          <w:szCs w:val="24"/>
          <w14:ligatures w14:val="standard"/>
        </w:rPr>
        <w:t xml:space="preserve">Motivation is very hard to define. As Gardner (2006, p.242) states “motivation is a very complex phenomenon with many facets…Thus, it is not possible to give a simple definition”. This is because the term motivation has been viewed differently by different schools of thought. </w:t>
      </w:r>
      <w:r w:rsidRPr="000B1D94">
        <w:rPr>
          <w:rFonts w:ascii="Times New Roman" w:hAnsi="Times New Roman" w:cs="Times New Roman"/>
          <w:sz w:val="24"/>
          <w:szCs w:val="24"/>
        </w:rPr>
        <w:t xml:space="preserve">From the behavioristic perspective, motivation is “quite simply the anticipation of reward” (Brown, 2000, p.160). Motivation is defined by psychologists as an internal process that activates, guides, and maintains behavior over time. In other words motivation gets you going, keeps you going, and determines where you’re trying to go (Slavin, 2000). </w:t>
      </w:r>
    </w:p>
    <w:p w14:paraId="38E0D246" w14:textId="77777777" w:rsidR="000B1D94" w:rsidRPr="000B1D94" w:rsidRDefault="000B1D94" w:rsidP="000B1D94">
      <w:pPr>
        <w:autoSpaceDE w:val="0"/>
        <w:autoSpaceDN w:val="0"/>
        <w:adjustRightInd w:val="0"/>
        <w:spacing w:after="0" w:line="480" w:lineRule="auto"/>
        <w:ind w:firstLine="720"/>
        <w:jc w:val="both"/>
        <w:rPr>
          <w:rFonts w:ascii="Times New Roman" w:hAnsi="Times New Roman" w:cs="Times New Roman"/>
          <w:sz w:val="24"/>
          <w:szCs w:val="24"/>
        </w:rPr>
      </w:pPr>
      <w:r w:rsidRPr="000B1D94">
        <w:rPr>
          <w:rFonts w:ascii="Times New Roman" w:hAnsi="Times New Roman" w:cs="Times New Roman"/>
          <w:sz w:val="24"/>
          <w:szCs w:val="24"/>
        </w:rPr>
        <w:t>Rogers, Ludington and Graham (1999) describe motivation as an internal feeling; it is the drive that someone has to do something. Whenever students feel a desire or need for learning something, they are motivated. Any teacher knows that using the best curriculum, technology, and assessment won‘t make a difference if the students don‘t want to learn. Teachers are dealing with many more students‘ behavior problems nowadays. Students are struggling more with the academic challenge than before. Rogers et al. (1999) indicate the problem is not that students are not motivated to learn, it‘s that they are not motivated to learn what teachers are teaching or in the way that they are being expected to learn. Each student is motivated to learn something. Sadly, many students are just more motivated to learn things other than what the teachers are trying to teach them. Furthermore, the effectiveness of teaching won‘t happens until the teachers direct the students’ hearts back to learning.</w:t>
      </w:r>
    </w:p>
    <w:p w14:paraId="23EF8E64" w14:textId="77777777" w:rsidR="000B1D94" w:rsidRPr="000B1D94" w:rsidRDefault="000B1D94" w:rsidP="000B1D94">
      <w:pPr>
        <w:pStyle w:val="Heading3"/>
        <w:numPr>
          <w:ilvl w:val="2"/>
          <w:numId w:val="4"/>
        </w:numPr>
        <w:spacing w:line="480" w:lineRule="auto"/>
        <w:ind w:left="630" w:hanging="630"/>
        <w:rPr>
          <w:rFonts w:ascii="Times New Roman" w:hAnsi="Times New Roman" w:cs="Times New Roman"/>
          <w:color w:val="auto"/>
        </w:rPr>
      </w:pPr>
      <w:bookmarkStart w:id="8" w:name="_Toc370986160"/>
      <w:bookmarkStart w:id="9" w:name="_Toc372750545"/>
      <w:r w:rsidRPr="000B1D94">
        <w:rPr>
          <w:rFonts w:ascii="Times New Roman" w:hAnsi="Times New Roman" w:cs="Times New Roman"/>
          <w:color w:val="auto"/>
        </w:rPr>
        <w:t>Theories of Motivation</w:t>
      </w:r>
      <w:bookmarkEnd w:id="8"/>
      <w:bookmarkEnd w:id="9"/>
    </w:p>
    <w:p w14:paraId="38364654"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Motivation is the force that initiates, guides and maintains goal-oriented behaviors. It is what causes us to take action, whether to grab a snack to reduce hunger or enroll in college to earn a degree. The forces that lie beneath motivation can be biological, social, emotional or cognitive in nature.</w:t>
      </w:r>
    </w:p>
    <w:p w14:paraId="1534E09B"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Researchers have developed a number of different theories to explain motivation. Each individual theory tends to be rather limited in scope. However, by looking at the key ideas behind each theory, we can gain a better understanding of motivation as a whole.</w:t>
      </w:r>
    </w:p>
    <w:p w14:paraId="289956DA" w14:textId="77777777" w:rsidR="000B1D94" w:rsidRPr="000B1D94" w:rsidRDefault="000B1D94" w:rsidP="000B1D94">
      <w:pPr>
        <w:spacing w:line="480" w:lineRule="auto"/>
        <w:ind w:firstLine="450"/>
        <w:jc w:val="both"/>
        <w:rPr>
          <w:rFonts w:ascii="Times New Roman" w:hAnsi="Times New Roman" w:cs="Times New Roman"/>
          <w:sz w:val="24"/>
          <w:szCs w:val="24"/>
        </w:rPr>
        <w:sectPr w:rsidR="000B1D94" w:rsidRPr="000B1D94" w:rsidSect="007340F0">
          <w:pgSz w:w="12240" w:h="15840"/>
          <w:pgMar w:top="2275" w:right="1699" w:bottom="1699" w:left="2275" w:header="720" w:footer="720" w:gutter="0"/>
          <w:cols w:space="720"/>
          <w:docGrid w:linePitch="360"/>
        </w:sectPr>
      </w:pPr>
    </w:p>
    <w:p w14:paraId="1DA5BA0C" w14:textId="77777777" w:rsidR="000B1D94" w:rsidRPr="000B1D94" w:rsidRDefault="000B1D94" w:rsidP="000B1D94">
      <w:pPr>
        <w:pStyle w:val="Heading3"/>
        <w:numPr>
          <w:ilvl w:val="2"/>
          <w:numId w:val="4"/>
        </w:numPr>
        <w:spacing w:before="0" w:line="480" w:lineRule="auto"/>
        <w:ind w:left="630" w:hanging="630"/>
        <w:jc w:val="both"/>
        <w:rPr>
          <w:rFonts w:ascii="Times New Roman" w:hAnsi="Times New Roman" w:cs="Times New Roman"/>
          <w:color w:val="auto"/>
        </w:rPr>
      </w:pPr>
      <w:bookmarkStart w:id="10" w:name="_Toc370986161"/>
      <w:bookmarkStart w:id="11" w:name="_Toc372750546"/>
      <w:r w:rsidRPr="000B1D94">
        <w:rPr>
          <w:rFonts w:ascii="Times New Roman" w:hAnsi="Times New Roman" w:cs="Times New Roman"/>
          <w:color w:val="auto"/>
        </w:rPr>
        <w:t>Types of Motivation</w:t>
      </w:r>
      <w:bookmarkEnd w:id="10"/>
      <w:bookmarkEnd w:id="11"/>
    </w:p>
    <w:p w14:paraId="79DF1175" w14:textId="77777777" w:rsidR="000B1D94" w:rsidRPr="000B1D94" w:rsidRDefault="000B1D94" w:rsidP="000B1D94">
      <w:pPr>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Brown (2000) states that motivation is also typically examined in terms of the intrinsic and extrinsic motivates of the learners.</w:t>
      </w:r>
    </w:p>
    <w:p w14:paraId="7DADB10F" w14:textId="77777777" w:rsidR="000B1D94" w:rsidRPr="000B1D94" w:rsidRDefault="000B1D94" w:rsidP="000B1D94">
      <w:pPr>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According to Deci and Ryan in Conttia (2007) intrinsic motivation is motivation to engage in an activity because that activity is enjoyable and satisfying to do. Moreover, Edward Deci in Brown (2000) defines intrinsic motivation:</w:t>
      </w:r>
    </w:p>
    <w:p w14:paraId="0B6E7A86" w14:textId="77777777" w:rsidR="000B1D94" w:rsidRPr="000B1D94" w:rsidRDefault="000B1D94" w:rsidP="000B1D94">
      <w:pPr>
        <w:tabs>
          <w:tab w:val="left" w:pos="7200"/>
        </w:tabs>
        <w:spacing w:line="360" w:lineRule="auto"/>
        <w:ind w:left="450" w:right="706"/>
        <w:jc w:val="both"/>
        <w:rPr>
          <w:rFonts w:ascii="Times New Roman" w:hAnsi="Times New Roman" w:cs="Times New Roman"/>
          <w:sz w:val="24"/>
          <w:szCs w:val="24"/>
        </w:rPr>
      </w:pPr>
      <w:r w:rsidRPr="000B1D94">
        <w:rPr>
          <w:rFonts w:ascii="Times New Roman" w:hAnsi="Times New Roman" w:cs="Times New Roman"/>
          <w:sz w:val="24"/>
          <w:szCs w:val="24"/>
        </w:rPr>
        <w:t>Intrinsically motivated activities are one for which there is no apparent reward except the activity itself. People seem to engage in the activities for their own sake and not because they lead to an extrinsic reward.......... intrinsically motivated behaviors are aimed at bringing about certain internally rewarding consequences, namely, feelings of competence and self-determination.</w:t>
      </w:r>
    </w:p>
    <w:p w14:paraId="285F13B7" w14:textId="77777777" w:rsidR="000B1D94" w:rsidRPr="000B1D94" w:rsidRDefault="000B1D94" w:rsidP="000B1D94">
      <w:pPr>
        <w:tabs>
          <w:tab w:val="left" w:pos="0"/>
          <w:tab w:val="left" w:pos="450"/>
        </w:tabs>
        <w:spacing w:line="480" w:lineRule="auto"/>
        <w:ind w:right="-14"/>
        <w:jc w:val="both"/>
        <w:rPr>
          <w:rFonts w:ascii="Times New Roman" w:hAnsi="Times New Roman" w:cs="Times New Roman"/>
          <w:sz w:val="24"/>
          <w:szCs w:val="24"/>
        </w:rPr>
      </w:pPr>
      <w:r w:rsidRPr="000B1D94">
        <w:rPr>
          <w:rFonts w:ascii="Times New Roman" w:hAnsi="Times New Roman" w:cs="Times New Roman"/>
          <w:sz w:val="24"/>
          <w:szCs w:val="24"/>
        </w:rPr>
        <w:tab/>
        <w:t>Intrinsic motivation is defined as the doing of an activity for its inherent satisfactions rather than for some separable consequence. When intrinsically motivated a person is moved to act for the fun or challenge entailed rather than because of external prods, pressures or rewards.</w:t>
      </w:r>
    </w:p>
    <w:p w14:paraId="62840D53" w14:textId="77777777" w:rsidR="000B1D94" w:rsidRPr="000B1D94" w:rsidRDefault="000B1D94" w:rsidP="000B1D94">
      <w:pPr>
        <w:tabs>
          <w:tab w:val="left" w:pos="0"/>
          <w:tab w:val="left" w:pos="450"/>
        </w:tabs>
        <w:spacing w:line="480" w:lineRule="auto"/>
        <w:ind w:right="-14"/>
        <w:jc w:val="both"/>
        <w:rPr>
          <w:rFonts w:ascii="Times New Roman" w:hAnsi="Times New Roman" w:cs="Times New Roman"/>
          <w:sz w:val="24"/>
          <w:szCs w:val="24"/>
        </w:rPr>
      </w:pPr>
      <w:r w:rsidRPr="000B1D94">
        <w:rPr>
          <w:rFonts w:ascii="Times New Roman" w:hAnsi="Times New Roman" w:cs="Times New Roman"/>
          <w:sz w:val="24"/>
          <w:szCs w:val="24"/>
        </w:rPr>
        <w:tab/>
        <w:t>Based on the statements above, the writer can conclude that intrinsic motivation is willing to do something that occurs from inner feeling without outside factors.</w:t>
      </w:r>
    </w:p>
    <w:p w14:paraId="7F000BAE" w14:textId="77777777" w:rsidR="000B1D94" w:rsidRPr="000B1D94" w:rsidRDefault="000B1D94" w:rsidP="000B1D94">
      <w:pPr>
        <w:tabs>
          <w:tab w:val="left" w:pos="0"/>
          <w:tab w:val="left" w:pos="450"/>
        </w:tabs>
        <w:spacing w:line="480" w:lineRule="auto"/>
        <w:ind w:right="-14"/>
        <w:jc w:val="both"/>
        <w:rPr>
          <w:rFonts w:ascii="Times New Roman" w:hAnsi="Times New Roman" w:cs="Times New Roman"/>
          <w:sz w:val="24"/>
          <w:szCs w:val="24"/>
        </w:rPr>
      </w:pPr>
      <w:r w:rsidRPr="000B1D94">
        <w:rPr>
          <w:rFonts w:ascii="Times New Roman" w:hAnsi="Times New Roman" w:cs="Times New Roman"/>
          <w:sz w:val="24"/>
          <w:szCs w:val="24"/>
        </w:rPr>
        <w:tab/>
        <w:t>Extrinsic motivation refers to the actions carried out to achieve some instrumental end such as earning a reward or avoiding a punishment (Deci and Ryan in Conttia, 2007). Furthermore, Brown (2004) explains that extrinsically motivated behaviors are carried out in anticipation of a reward from outside and beyond the self. The typically extrinsic rewards are money, prizes, grades and even certain types of positive feedback.</w:t>
      </w:r>
    </w:p>
    <w:p w14:paraId="3FCD0CF2" w14:textId="77777777" w:rsidR="000B1D94" w:rsidRPr="000B1D94" w:rsidRDefault="000B1D94" w:rsidP="000B1D94">
      <w:pPr>
        <w:tabs>
          <w:tab w:val="left" w:pos="0"/>
          <w:tab w:val="left" w:pos="450"/>
        </w:tabs>
        <w:spacing w:line="480" w:lineRule="auto"/>
        <w:ind w:right="-14"/>
        <w:jc w:val="both"/>
        <w:rPr>
          <w:rFonts w:ascii="Times New Roman" w:hAnsi="Times New Roman" w:cs="Times New Roman"/>
          <w:sz w:val="24"/>
          <w:szCs w:val="24"/>
        </w:rPr>
      </w:pPr>
      <w:r w:rsidRPr="000B1D94">
        <w:rPr>
          <w:rFonts w:ascii="Times New Roman" w:hAnsi="Times New Roman" w:cs="Times New Roman"/>
          <w:sz w:val="24"/>
          <w:szCs w:val="24"/>
        </w:rPr>
        <w:tab/>
        <w:t>Extrinsic motivation contrasts with intrinsic motivation, which refers to doing an activity simply for the enjoyment of the activity itself, rather than its instrumental value. Extrinsic motivation is a construct that pertains whenever an activity is done in order to attain some separable.</w:t>
      </w:r>
    </w:p>
    <w:p w14:paraId="387667C5" w14:textId="77777777" w:rsidR="000B1D94" w:rsidRPr="000B1D94" w:rsidRDefault="000B1D94" w:rsidP="000B1D94">
      <w:pPr>
        <w:tabs>
          <w:tab w:val="left" w:pos="0"/>
          <w:tab w:val="left" w:pos="450"/>
        </w:tabs>
        <w:spacing w:line="480" w:lineRule="auto"/>
        <w:ind w:right="-14"/>
        <w:jc w:val="both"/>
        <w:rPr>
          <w:rFonts w:ascii="Times New Roman" w:hAnsi="Times New Roman" w:cs="Times New Roman"/>
          <w:sz w:val="24"/>
          <w:szCs w:val="24"/>
        </w:rPr>
      </w:pPr>
      <w:r w:rsidRPr="000B1D94">
        <w:rPr>
          <w:rFonts w:ascii="Times New Roman" w:hAnsi="Times New Roman" w:cs="Times New Roman"/>
          <w:sz w:val="24"/>
          <w:szCs w:val="24"/>
        </w:rPr>
        <w:tab/>
        <w:t>Taking of the note, the writer can conclude that extrinsic motivation is willing to do something that comes from external factors, such as rewards, money, prizes, and grades.</w:t>
      </w:r>
    </w:p>
    <w:p w14:paraId="3177D1D3" w14:textId="77777777" w:rsidR="000B1D94" w:rsidRPr="000B1D94" w:rsidRDefault="000B1D94" w:rsidP="000B1D94">
      <w:pPr>
        <w:pStyle w:val="Heading2"/>
        <w:spacing w:line="480" w:lineRule="auto"/>
        <w:ind w:left="450" w:hanging="450"/>
        <w:rPr>
          <w:rFonts w:ascii="Times New Roman" w:hAnsi="Times New Roman" w:cs="Times New Roman"/>
          <w:color w:val="auto"/>
          <w:sz w:val="24"/>
          <w:szCs w:val="24"/>
        </w:rPr>
      </w:pPr>
      <w:bookmarkStart w:id="12" w:name="_Toc370986162"/>
      <w:bookmarkStart w:id="13" w:name="_Toc372750547"/>
      <w:r w:rsidRPr="000B1D94">
        <w:rPr>
          <w:rFonts w:ascii="Times New Roman" w:hAnsi="Times New Roman" w:cs="Times New Roman"/>
          <w:color w:val="auto"/>
          <w:sz w:val="24"/>
          <w:szCs w:val="24"/>
        </w:rPr>
        <w:t>2.3 Nonverbal Immediacy</w:t>
      </w:r>
      <w:bookmarkEnd w:id="12"/>
      <w:bookmarkEnd w:id="13"/>
    </w:p>
    <w:p w14:paraId="5CB95CA6"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Nonverbal immediacy behaviors generally involve kinesics, proxemics, vocalics, haptics and oculesics, but the most noticeable teacher’s nonverbal immediacy behaviorss usually include smiling, vocal-variety and expressiveness, eye contact, gestures, touching and relaxed body position (Anderson, 1979). Immediacy behaviors, such as appropriate eye contact, the use of gestures, movement about the classroom, smiling, vocal varieties and the use of humor are considered to be highly effective teaching behaviors.</w:t>
      </w:r>
    </w:p>
    <w:p w14:paraId="4E2433B5"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pacing w:val="-15"/>
          <w:sz w:val="24"/>
          <w:szCs w:val="24"/>
          <w:bdr w:val="none" w:sz="0" w:space="0" w:color="auto" w:frame="1"/>
          <w:shd w:val="clear" w:color="auto" w:fill="FFFFFF"/>
        </w:rPr>
      </w:pPr>
      <w:r w:rsidRPr="000B1D94">
        <w:rPr>
          <w:rFonts w:ascii="Times New Roman" w:hAnsi="Times New Roman" w:cs="Times New Roman"/>
          <w:sz w:val="24"/>
          <w:szCs w:val="24"/>
        </w:rPr>
        <w:t>Many research conducted in the field of education labeled these behaviors as teacher enthusiasm or teacher expressiveness (Abrami, Leventhal &amp; Perry, 1982; Coats &amp; Smidchens, 1966), while communication researchers have chosen to label them as immediacy behaviors (Andersen, 1979). Conversely, non-immediacy behaviors convey lack of enthusiasm and expressiveness, such as low eye contact, a distal position, backward body lean, and the absence of smiling and touch, communicated greater detachment (Sanders &amp; Wiseman, 1990, p. 342).</w:t>
      </w:r>
    </w:p>
    <w:p w14:paraId="5DE073B4"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While many other factors could contribute to students‘ motivation for learning English, teacher immediacy behavior are found to have a significant correlation with students‘ motivation for learning. Students‘ affect and motivation for learning reflect on their initiative to participation in the classroom when teachers are responsive and caring.</w:t>
      </w:r>
    </w:p>
    <w:p w14:paraId="06C3AF23" w14:textId="77777777" w:rsidR="000B1D94" w:rsidRPr="000B1D94" w:rsidRDefault="000B1D94" w:rsidP="000B1D94">
      <w:pPr>
        <w:pStyle w:val="Heading3"/>
        <w:numPr>
          <w:ilvl w:val="2"/>
          <w:numId w:val="2"/>
        </w:numPr>
        <w:spacing w:line="480" w:lineRule="auto"/>
        <w:ind w:left="630" w:hanging="630"/>
        <w:jc w:val="both"/>
        <w:rPr>
          <w:rFonts w:ascii="Times New Roman" w:hAnsi="Times New Roman" w:cs="Times New Roman"/>
          <w:color w:val="auto"/>
        </w:rPr>
      </w:pPr>
      <w:bookmarkStart w:id="14" w:name="_Toc370986163"/>
      <w:bookmarkStart w:id="15" w:name="_Toc372750548"/>
      <w:r w:rsidRPr="000B1D94">
        <w:rPr>
          <w:rFonts w:ascii="Times New Roman" w:hAnsi="Times New Roman" w:cs="Times New Roman"/>
          <w:color w:val="auto"/>
        </w:rPr>
        <w:t>Definition of Nonverbal Communication</w:t>
      </w:r>
      <w:bookmarkEnd w:id="14"/>
      <w:bookmarkEnd w:id="15"/>
    </w:p>
    <w:p w14:paraId="1C229707"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Nonverbal communication is one of various forms of communication. We communicate so much information nonverbally and often ignore the words. On the other hand, we are often not aware of the function of nonverbal communication in our communication. We just do it unconsciously and spontaneously, whereas knowing and understanding the nonverbal communication and its cues will help us to have a good ability in building effectiveness in communication. Then, before we try to explore nonverbal communication and its influence to students learning motivation, we need to understand what nonverbal communication is.</w:t>
      </w:r>
    </w:p>
    <w:p w14:paraId="76089BB1"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Negi (2009) explains that nonverbal communication is the process of one person stimulating meaning in the mind of another person or persons by means of non-linguistic cues. Besides, Miller in Negi (2009) says that nonverbal cues is communication without words which includes overt behaviors such as facial expression, eyes, touching and tone voice, as well as less obvious message such as dress,, posture and spatial distance between two or more people.</w:t>
      </w:r>
    </w:p>
    <w:p w14:paraId="4349BF53"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Mask Knapp in Huang (2011) states, “Generally, when people refer to nonverbal communication, they are talking about the signals to which meaning will be attributed-not the process of attributing meaning …” Then, Samovar and Porter in Huang (2011) propose that nonverbal communication involves all those nonverbal stimuli in a communication setting that are generated by both the source and his or her use of the environment and that have potential message value for the source of receiver.</w:t>
      </w:r>
    </w:p>
    <w:p w14:paraId="7F3DADE3"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Finally, we can get the conclusion that nonverbal communication is communication without words that includes apparent behaviors such as facial expression, eyes contact, touching, body movement and vocalization as well as less obvious message such as dress, posture and spatial distance.</w:t>
      </w:r>
    </w:p>
    <w:p w14:paraId="7C44DC64" w14:textId="77777777" w:rsidR="000B1D94" w:rsidRPr="000B1D94" w:rsidRDefault="000B1D94" w:rsidP="000B1D94">
      <w:pPr>
        <w:pStyle w:val="Heading3"/>
        <w:numPr>
          <w:ilvl w:val="2"/>
          <w:numId w:val="2"/>
        </w:numPr>
        <w:spacing w:line="480" w:lineRule="auto"/>
        <w:ind w:left="630" w:hanging="630"/>
        <w:jc w:val="both"/>
        <w:rPr>
          <w:rFonts w:ascii="Times New Roman" w:hAnsi="Times New Roman" w:cs="Times New Roman"/>
          <w:color w:val="auto"/>
        </w:rPr>
      </w:pPr>
      <w:bookmarkStart w:id="16" w:name="_Toc370986164"/>
      <w:bookmarkStart w:id="17" w:name="_Toc372750549"/>
      <w:r w:rsidRPr="000B1D94">
        <w:rPr>
          <w:rFonts w:ascii="Times New Roman" w:hAnsi="Times New Roman" w:cs="Times New Roman"/>
          <w:color w:val="auto"/>
        </w:rPr>
        <w:t>Components of Nonverbal Communication</w:t>
      </w:r>
      <w:bookmarkEnd w:id="16"/>
      <w:bookmarkEnd w:id="17"/>
    </w:p>
    <w:p w14:paraId="78C7DD23"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It is difficult to categorize the main components of the nonverbal communications system. For the sake of clarity, a tentative classification of the major components of nonverbal communication is presented in the following figure. It is adapted from Steven Darn’s (Internet TESL, Journal, 2005) classification.</w:t>
      </w:r>
    </w:p>
    <w:p w14:paraId="267B8ED0" w14:textId="77777777" w:rsidR="000B1D94" w:rsidRPr="000B1D94" w:rsidRDefault="000B1D94" w:rsidP="000B1D94">
      <w:pPr>
        <w:spacing w:line="480" w:lineRule="auto"/>
        <w:ind w:firstLine="450"/>
        <w:jc w:val="both"/>
        <w:rPr>
          <w:rFonts w:ascii="Times New Roman" w:hAnsi="Times New Roman" w:cs="Times New Roman"/>
          <w:sz w:val="24"/>
          <w:szCs w:val="24"/>
        </w:rPr>
      </w:pPr>
    </w:p>
    <w:p w14:paraId="6D228838" w14:textId="77777777" w:rsidR="000B1D94" w:rsidRPr="000B1D94" w:rsidRDefault="000B1D94" w:rsidP="000B1D94">
      <w:pPr>
        <w:spacing w:line="240" w:lineRule="auto"/>
        <w:ind w:firstLine="450"/>
        <w:jc w:val="center"/>
        <w:rPr>
          <w:rFonts w:ascii="Times New Roman" w:hAnsi="Times New Roman" w:cs="Times New Roman"/>
          <w:i/>
          <w:sz w:val="24"/>
          <w:szCs w:val="24"/>
        </w:rPr>
      </w:pPr>
      <w:r w:rsidRPr="000B1D94">
        <w:rPr>
          <w:rFonts w:ascii="Times New Roman" w:hAnsi="Times New Roman" w:cs="Times New Roman"/>
          <w:i/>
          <w:sz w:val="24"/>
          <w:szCs w:val="24"/>
        </w:rPr>
        <w:t>Table 2.1: Component of Nonverbal Communication</w:t>
      </w:r>
    </w:p>
    <w:tbl>
      <w:tblPr>
        <w:tblStyle w:val="TableGrid"/>
        <w:tblW w:w="0" w:type="auto"/>
        <w:tblLook w:val="04A0" w:firstRow="1" w:lastRow="0" w:firstColumn="1" w:lastColumn="0" w:noHBand="0" w:noVBand="1"/>
      </w:tblPr>
      <w:tblGrid>
        <w:gridCol w:w="4126"/>
        <w:gridCol w:w="4130"/>
      </w:tblGrid>
      <w:tr w:rsidR="000B1D94" w:rsidRPr="000B1D94" w14:paraId="1EDD4873" w14:textId="77777777" w:rsidTr="00AF44AA">
        <w:tc>
          <w:tcPr>
            <w:tcW w:w="4241" w:type="dxa"/>
            <w:vAlign w:val="center"/>
          </w:tcPr>
          <w:p w14:paraId="60D0B132" w14:textId="77777777" w:rsidR="000B1D94" w:rsidRPr="000B1D94" w:rsidRDefault="000B1D94" w:rsidP="00AF44AA">
            <w:pPr>
              <w:jc w:val="center"/>
              <w:rPr>
                <w:rFonts w:ascii="Times New Roman" w:hAnsi="Times New Roman" w:cs="Times New Roman"/>
                <w:b/>
                <w:sz w:val="24"/>
                <w:szCs w:val="24"/>
              </w:rPr>
            </w:pPr>
            <w:r w:rsidRPr="000B1D94">
              <w:rPr>
                <w:rFonts w:ascii="Times New Roman" w:hAnsi="Times New Roman" w:cs="Times New Roman"/>
                <w:b/>
                <w:sz w:val="24"/>
                <w:szCs w:val="24"/>
              </w:rPr>
              <w:t>Component</w:t>
            </w:r>
          </w:p>
        </w:tc>
        <w:tc>
          <w:tcPr>
            <w:tcW w:w="4241" w:type="dxa"/>
            <w:vAlign w:val="center"/>
          </w:tcPr>
          <w:p w14:paraId="412AB7E3" w14:textId="77777777" w:rsidR="000B1D94" w:rsidRPr="000B1D94" w:rsidRDefault="000B1D94" w:rsidP="00AF44AA">
            <w:pPr>
              <w:jc w:val="center"/>
              <w:rPr>
                <w:rFonts w:ascii="Times New Roman" w:hAnsi="Times New Roman" w:cs="Times New Roman"/>
                <w:b/>
                <w:sz w:val="24"/>
                <w:szCs w:val="24"/>
              </w:rPr>
            </w:pPr>
            <w:r w:rsidRPr="000B1D94">
              <w:rPr>
                <w:rFonts w:ascii="Times New Roman" w:hAnsi="Times New Roman" w:cs="Times New Roman"/>
                <w:b/>
                <w:sz w:val="24"/>
                <w:szCs w:val="24"/>
              </w:rPr>
              <w:t>Description</w:t>
            </w:r>
          </w:p>
        </w:tc>
      </w:tr>
      <w:tr w:rsidR="000B1D94" w:rsidRPr="000B1D94" w14:paraId="3B7C6C80" w14:textId="77777777" w:rsidTr="00AF44AA">
        <w:tc>
          <w:tcPr>
            <w:tcW w:w="4241" w:type="dxa"/>
            <w:vAlign w:val="center"/>
          </w:tcPr>
          <w:p w14:paraId="2A31141C"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Kinesics</w:t>
            </w:r>
          </w:p>
        </w:tc>
        <w:tc>
          <w:tcPr>
            <w:tcW w:w="4241" w:type="dxa"/>
          </w:tcPr>
          <w:p w14:paraId="37DD2FB8"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Body motions (blushes, shrugs, eye movement, foot-tapping, drumming fingers)</w:t>
            </w:r>
          </w:p>
        </w:tc>
      </w:tr>
      <w:tr w:rsidR="000B1D94" w:rsidRPr="000B1D94" w14:paraId="68493E1C" w14:textId="77777777" w:rsidTr="00AF44AA">
        <w:tc>
          <w:tcPr>
            <w:tcW w:w="4241" w:type="dxa"/>
            <w:vAlign w:val="center"/>
          </w:tcPr>
          <w:p w14:paraId="2F5B4F5B"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Proxemics</w:t>
            </w:r>
          </w:p>
        </w:tc>
        <w:tc>
          <w:tcPr>
            <w:tcW w:w="4241" w:type="dxa"/>
          </w:tcPr>
          <w:p w14:paraId="5D001C44"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Spatial separation (in relation both the social and physical environment)</w:t>
            </w:r>
          </w:p>
        </w:tc>
      </w:tr>
      <w:tr w:rsidR="000B1D94" w:rsidRPr="000B1D94" w14:paraId="57E488CB" w14:textId="77777777" w:rsidTr="00AF44AA">
        <w:tc>
          <w:tcPr>
            <w:tcW w:w="4241" w:type="dxa"/>
            <w:vAlign w:val="center"/>
          </w:tcPr>
          <w:p w14:paraId="5CE0971B"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Haptic</w:t>
            </w:r>
          </w:p>
        </w:tc>
        <w:tc>
          <w:tcPr>
            <w:tcW w:w="4241" w:type="dxa"/>
          </w:tcPr>
          <w:p w14:paraId="2F11C5F8"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Touch</w:t>
            </w:r>
          </w:p>
        </w:tc>
      </w:tr>
      <w:tr w:rsidR="000B1D94" w:rsidRPr="000B1D94" w14:paraId="00B11B80" w14:textId="77777777" w:rsidTr="00AF44AA">
        <w:tc>
          <w:tcPr>
            <w:tcW w:w="4241" w:type="dxa"/>
            <w:vAlign w:val="center"/>
          </w:tcPr>
          <w:p w14:paraId="7560BB72"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Oculesics</w:t>
            </w:r>
          </w:p>
        </w:tc>
        <w:tc>
          <w:tcPr>
            <w:tcW w:w="4241" w:type="dxa"/>
          </w:tcPr>
          <w:p w14:paraId="1B03ED3E"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Eye Contact</w:t>
            </w:r>
          </w:p>
        </w:tc>
      </w:tr>
      <w:tr w:rsidR="000B1D94" w:rsidRPr="000B1D94" w14:paraId="6E7D8644" w14:textId="77777777" w:rsidTr="00AF44AA">
        <w:tc>
          <w:tcPr>
            <w:tcW w:w="4241" w:type="dxa"/>
            <w:vAlign w:val="center"/>
          </w:tcPr>
          <w:p w14:paraId="2578A4EA"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Chronemics</w:t>
            </w:r>
          </w:p>
        </w:tc>
        <w:tc>
          <w:tcPr>
            <w:tcW w:w="4241" w:type="dxa"/>
          </w:tcPr>
          <w:p w14:paraId="205B6D51"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Use of time, waiting, pausing</w:t>
            </w:r>
          </w:p>
        </w:tc>
      </w:tr>
      <w:tr w:rsidR="000B1D94" w:rsidRPr="000B1D94" w14:paraId="25F1B772" w14:textId="77777777" w:rsidTr="00AF44AA">
        <w:tc>
          <w:tcPr>
            <w:tcW w:w="4241" w:type="dxa"/>
            <w:vAlign w:val="center"/>
          </w:tcPr>
          <w:p w14:paraId="6094CBFC"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Olfactics</w:t>
            </w:r>
          </w:p>
        </w:tc>
        <w:tc>
          <w:tcPr>
            <w:tcW w:w="4241" w:type="dxa"/>
          </w:tcPr>
          <w:p w14:paraId="47626CB8"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Smell</w:t>
            </w:r>
          </w:p>
        </w:tc>
      </w:tr>
      <w:tr w:rsidR="000B1D94" w:rsidRPr="000B1D94" w14:paraId="25A4F6F7" w14:textId="77777777" w:rsidTr="00AF44AA">
        <w:tc>
          <w:tcPr>
            <w:tcW w:w="4241" w:type="dxa"/>
            <w:vAlign w:val="center"/>
          </w:tcPr>
          <w:p w14:paraId="451759C5"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Vocalic</w:t>
            </w:r>
          </w:p>
        </w:tc>
        <w:tc>
          <w:tcPr>
            <w:tcW w:w="4241" w:type="dxa"/>
          </w:tcPr>
          <w:p w14:paraId="2BDBADBD"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Tone of voice, timbre, volume, speed</w:t>
            </w:r>
          </w:p>
        </w:tc>
      </w:tr>
      <w:tr w:rsidR="000B1D94" w:rsidRPr="000B1D94" w14:paraId="075D8FC4" w14:textId="77777777" w:rsidTr="00AF44AA">
        <w:tc>
          <w:tcPr>
            <w:tcW w:w="4241" w:type="dxa"/>
            <w:vAlign w:val="center"/>
          </w:tcPr>
          <w:p w14:paraId="44A32A43"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Sound Symbols</w:t>
            </w:r>
          </w:p>
        </w:tc>
        <w:tc>
          <w:tcPr>
            <w:tcW w:w="4241" w:type="dxa"/>
          </w:tcPr>
          <w:p w14:paraId="42991F96"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Grunting, mmm, er, ah, uh-huh, mumbling</w:t>
            </w:r>
          </w:p>
        </w:tc>
      </w:tr>
      <w:tr w:rsidR="000B1D94" w:rsidRPr="000B1D94" w14:paraId="032EF3C9" w14:textId="77777777" w:rsidTr="00AF44AA">
        <w:tc>
          <w:tcPr>
            <w:tcW w:w="4241" w:type="dxa"/>
            <w:vAlign w:val="center"/>
          </w:tcPr>
          <w:p w14:paraId="2B61169D"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Silence</w:t>
            </w:r>
          </w:p>
        </w:tc>
        <w:tc>
          <w:tcPr>
            <w:tcW w:w="4241" w:type="dxa"/>
          </w:tcPr>
          <w:p w14:paraId="46AD58A8"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Absence of sound (muteness, stillness, secrecy)</w:t>
            </w:r>
          </w:p>
        </w:tc>
      </w:tr>
      <w:tr w:rsidR="000B1D94" w:rsidRPr="000B1D94" w14:paraId="3AE526F3" w14:textId="77777777" w:rsidTr="00AF44AA">
        <w:tc>
          <w:tcPr>
            <w:tcW w:w="4241" w:type="dxa"/>
            <w:vAlign w:val="center"/>
          </w:tcPr>
          <w:p w14:paraId="3B4B15D3"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Adornment</w:t>
            </w:r>
          </w:p>
        </w:tc>
        <w:tc>
          <w:tcPr>
            <w:tcW w:w="4241" w:type="dxa"/>
          </w:tcPr>
          <w:p w14:paraId="4A911526"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Clothing, jewelry, hairstyle</w:t>
            </w:r>
          </w:p>
        </w:tc>
      </w:tr>
      <w:tr w:rsidR="000B1D94" w:rsidRPr="000B1D94" w14:paraId="14DF336A" w14:textId="77777777" w:rsidTr="00AF44AA">
        <w:tc>
          <w:tcPr>
            <w:tcW w:w="4241" w:type="dxa"/>
            <w:vAlign w:val="center"/>
          </w:tcPr>
          <w:p w14:paraId="04141172"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Posture</w:t>
            </w:r>
          </w:p>
        </w:tc>
        <w:tc>
          <w:tcPr>
            <w:tcW w:w="4241" w:type="dxa"/>
          </w:tcPr>
          <w:p w14:paraId="10EDFBBD"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Position of the body (characteristic or assumed)</w:t>
            </w:r>
          </w:p>
        </w:tc>
      </w:tr>
      <w:tr w:rsidR="000B1D94" w:rsidRPr="000B1D94" w14:paraId="440A689F" w14:textId="77777777" w:rsidTr="00AF44AA">
        <w:tc>
          <w:tcPr>
            <w:tcW w:w="4241" w:type="dxa"/>
            <w:vAlign w:val="center"/>
          </w:tcPr>
          <w:p w14:paraId="51C4345C"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Locomotion</w:t>
            </w:r>
          </w:p>
        </w:tc>
        <w:tc>
          <w:tcPr>
            <w:tcW w:w="4241" w:type="dxa"/>
          </w:tcPr>
          <w:p w14:paraId="6F1998DE"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Walking, running, staggering, limping</w:t>
            </w:r>
          </w:p>
        </w:tc>
      </w:tr>
      <w:tr w:rsidR="000B1D94" w:rsidRPr="000B1D94" w14:paraId="6F63CF00" w14:textId="77777777" w:rsidTr="00AF44AA">
        <w:tc>
          <w:tcPr>
            <w:tcW w:w="4241" w:type="dxa"/>
            <w:vAlign w:val="center"/>
          </w:tcPr>
          <w:p w14:paraId="5E5C6BDC"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Expression</w:t>
            </w:r>
          </w:p>
        </w:tc>
        <w:tc>
          <w:tcPr>
            <w:tcW w:w="4241" w:type="dxa"/>
          </w:tcPr>
          <w:p w14:paraId="1AA2B76F" w14:textId="77777777" w:rsidR="000B1D94" w:rsidRPr="000B1D94" w:rsidRDefault="000B1D94" w:rsidP="00AF44AA">
            <w:pPr>
              <w:jc w:val="both"/>
              <w:rPr>
                <w:rFonts w:ascii="Times New Roman" w:hAnsi="Times New Roman" w:cs="Times New Roman"/>
                <w:sz w:val="24"/>
                <w:szCs w:val="24"/>
              </w:rPr>
            </w:pPr>
            <w:r w:rsidRPr="000B1D94">
              <w:rPr>
                <w:rFonts w:ascii="Times New Roman" w:hAnsi="Times New Roman" w:cs="Times New Roman"/>
                <w:sz w:val="24"/>
                <w:szCs w:val="24"/>
              </w:rPr>
              <w:t>Frown, grimaces, smirks, smiles, pouting</w:t>
            </w:r>
          </w:p>
        </w:tc>
      </w:tr>
    </w:tbl>
    <w:p w14:paraId="63091D3F" w14:textId="77777777" w:rsidR="000B1D94" w:rsidRPr="000B1D94" w:rsidRDefault="000B1D94" w:rsidP="000B1D94">
      <w:pPr>
        <w:spacing w:line="480" w:lineRule="auto"/>
        <w:ind w:firstLine="450"/>
        <w:jc w:val="both"/>
        <w:rPr>
          <w:rFonts w:ascii="Times New Roman" w:hAnsi="Times New Roman" w:cs="Times New Roman"/>
          <w:sz w:val="24"/>
          <w:szCs w:val="24"/>
        </w:rPr>
      </w:pPr>
    </w:p>
    <w:p w14:paraId="6FB3E99A"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In this research, the researcher did not analyze all components of communication above, the researcher only observed eight components of nonverbal communication that usually used by teacher in classroom interaction. Those components were kinesics, haptic, oculesics, proxemics, chronemics, vocalic, adornment and expression. The opt of nonverbal communication that were observed was done based on the theories of function of nonverbal communication that found by the researcher from books, journal and other literatures.</w:t>
      </w:r>
    </w:p>
    <w:p w14:paraId="6415B27A"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Commonly, nonverbal communication is dived into subcategories describing individual areas that transmit communication cues. Those subcategories of nonverbal communication are as follows:</w:t>
      </w:r>
    </w:p>
    <w:p w14:paraId="2F6CE423"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Kinesics</w:t>
      </w:r>
    </w:p>
    <w:p w14:paraId="7F78E92E"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Elfatihi (2006:7) writes that kinesics refers to the use of body movement and gesture. Moreover, Negi (2009) explains that kinesics looks Kinesics at bodily posture, facial expressions such as smile, frown, wrinkling the bow etc; and movements of head and limbs..,</w:t>
      </w:r>
    </w:p>
    <w:p w14:paraId="5C967B13"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The action of someone plays a greater role than words in communication or transmitting messages. Then, how we act will show our thought, feeling and so on. As cuny and Wilde (The Virginia English Bulletin, 2004) indicate that the more gesture and movement a teacher uses while explaining course concept, the more excited he/she is perceived to be about the material being presented.</w:t>
      </w:r>
    </w:p>
    <w:p w14:paraId="13FC815D"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Gesture may provide information, as when you point when giving directions; they may communicate feelings, as when you nod your head in agreement as a student speaks; they may emphasize a point, as when you tap something you have written on the whiteboard; they may call for attention, as when you clap your hands. Indeed, we often interpret an individual’s body movements as an indication of his or her character.</w:t>
      </w:r>
    </w:p>
    <w:p w14:paraId="58FB911E"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Teachers’ stance and general posture reflects their attitudes and feelings towards students as well. A tense, rigid body communicates the desire for distance and insecurity, whereas a relaxed body denotes strength, openness and friendliness.</w:t>
      </w:r>
    </w:p>
    <w:p w14:paraId="45FB1EEA"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Cuny and Wilde (The Virginia English Bulletin, 2004) explain immediate teachers are careful not to maintain an unexpressive face and instead offer friendly facial expressions, positive head nose and frequent smile. That explanation indicates that facial expression will help the teachers in transmitting the message especially the subject material to the students. Smart teachers will use effectively and totally the facial expression, gesture and posture to catch the students attention and make the students easier in comprehending the material.</w:t>
      </w:r>
    </w:p>
    <w:p w14:paraId="4DDDC9E1"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Proxemics</w:t>
      </w:r>
    </w:p>
    <w:p w14:paraId="50969288"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Proxemics usually refers to the way humans manage space during interaction (Elfatihi, 2006). Furthermore, proxemics what Menninen and Kujanpaa in Negi (2009) call ‘spatial behavior’ is the ‘physical distance we place between ourselves and others’.</w:t>
      </w:r>
    </w:p>
    <w:p w14:paraId="3B80446C"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Elfatihi (2006) devides proxemics into two other ways, personal space and territorially. Personal space refers to an area with invisible boundaries surrounding a person’s body into which intruders may not come. Territoriality refers to any area controlled and defended by an individual or group of individuals with emphasis on physical possession. Something that the teachers should to know is every culture have their own rules. The regulation about the space that accepted in one culture, it may not be available in other cultures.</w:t>
      </w:r>
    </w:p>
    <w:p w14:paraId="42CDB4FB"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Haptics</w:t>
      </w:r>
    </w:p>
    <w:p w14:paraId="68A4E18A"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Haptics describes touching behaviors. This category consist of physical contacts such as handshakes, patting on the shoulders and so on (Negi, 2009)</w:t>
      </w:r>
    </w:p>
    <w:p w14:paraId="186D5B9A"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The use of touch is a very powerful nonverbal communicator. As Brown (2000) states that how we touch others and where we touch them is sometimes the most misunderstood aspects of nonverbal communication. So, we have to use touching carefully. When we are in classroom, touching from teacher can enhance students’ emotional, social, physical and intellectual development. Because of liability concerns, teachers need to be sure they touch students appropriately. Ask for students’ permission before touching them. Touch the top of the head, hands and upper shoulders. Hug only if invited. Avoid any “bathing suit” areas or prolonged hugs. Be sure to always keep your classroom door open and avoid being alone with students to offset any rumors. Always use your best judgment as to whether or when to use touch in communicating with your students.</w:t>
      </w:r>
    </w:p>
    <w:p w14:paraId="365FEF13" w14:textId="77777777" w:rsidR="000B1D94" w:rsidRPr="000B1D94" w:rsidRDefault="000B1D94" w:rsidP="000B1D94">
      <w:pPr>
        <w:spacing w:line="480" w:lineRule="auto"/>
        <w:ind w:firstLine="360"/>
        <w:jc w:val="both"/>
        <w:rPr>
          <w:rFonts w:ascii="Times New Roman" w:hAnsi="Times New Roman" w:cs="Times New Roman"/>
          <w:sz w:val="24"/>
          <w:szCs w:val="24"/>
        </w:rPr>
      </w:pPr>
    </w:p>
    <w:p w14:paraId="1963745C" w14:textId="77777777" w:rsidR="000B1D94" w:rsidRPr="000B1D94" w:rsidRDefault="000B1D94" w:rsidP="000B1D94">
      <w:pPr>
        <w:spacing w:line="480" w:lineRule="auto"/>
        <w:ind w:firstLine="360"/>
        <w:jc w:val="both"/>
        <w:rPr>
          <w:rFonts w:ascii="Times New Roman" w:hAnsi="Times New Roman" w:cs="Times New Roman"/>
          <w:sz w:val="24"/>
          <w:szCs w:val="24"/>
        </w:rPr>
      </w:pPr>
    </w:p>
    <w:p w14:paraId="1773B9B4" w14:textId="77777777" w:rsidR="000B1D94" w:rsidRPr="000B1D94" w:rsidRDefault="000B1D94" w:rsidP="000B1D94">
      <w:pPr>
        <w:spacing w:line="480" w:lineRule="auto"/>
        <w:ind w:firstLine="360"/>
        <w:jc w:val="both"/>
        <w:rPr>
          <w:rFonts w:ascii="Times New Roman" w:hAnsi="Times New Roman" w:cs="Times New Roman"/>
          <w:sz w:val="24"/>
          <w:szCs w:val="24"/>
        </w:rPr>
      </w:pPr>
    </w:p>
    <w:p w14:paraId="4DA7DE6B"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Oculesics</w:t>
      </w:r>
    </w:p>
    <w:p w14:paraId="3C0C9945"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According to Elfatihi (2006) oculesics refers to the use of eye contact in communication. Then, Negi (2000) look oculesics at the influence of visual contacts on the perceived message that is communicated. Furthermore, Brown (2000) states that eye can signal interest, boredom, empathy, hostility, attraction, understanding, misunderstanding and other messages. Eye movement and eye contact as Khan in Negi (2009) says depict the focus, direction and duration of gaze in relation to other participants. For example, our eyes narrow when we are concentrating and pupils dilate when we are excited.</w:t>
      </w:r>
    </w:p>
    <w:p w14:paraId="4A60C335"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Chronemics</w:t>
      </w:r>
    </w:p>
    <w:p w14:paraId="7D2DAB9B"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Negi (2009) states chronemics as the study of the meanings, usage and communication of time, punctuality and so on. Chronemics or the use of time can be used for a variety of things by teachers. Time can serve to reward students for demonstrating good behavior, to control a classroom, or as a way to make class more interesting (Cuny and Wilde, 2004).</w:t>
      </w:r>
    </w:p>
    <w:p w14:paraId="5C1D53F7"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Time and its subtleties can be wisely used for successful communication. How you decide to spend class time conveys important attitudinal information. When you spend little time on a topic, or pass it by completely, you communicate that the topic is unimportant or that you have little interest in it. Such actions can unintentionally translate into similar attitudes by students.</w:t>
      </w:r>
    </w:p>
    <w:p w14:paraId="6C2B11E8"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Olfactics</w:t>
      </w:r>
    </w:p>
    <w:p w14:paraId="4B5ACFB1"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Negi (2009) indicates olfactics as interpersonal communication through smell which is concerned with scents or odor that comes from the perfumes and bodily hygiene, olfactics might include the use of perfumes and spices. It is associated with proxemics in that, the closer people are in communication, the more likely that the smell will be relevant.</w:t>
      </w:r>
    </w:p>
    <w:p w14:paraId="75DE8E0B"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In teaching learning activity especially that happened in the classroom, the smell of teacher will catch the students’ attention. So, the teacher must use the perfume that can make the students comfort and enjoyable in the classroom.</w:t>
      </w:r>
    </w:p>
    <w:p w14:paraId="75FC268B"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Paralanguage</w:t>
      </w:r>
    </w:p>
    <w:p w14:paraId="655F87B9"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Paralanguage is concerned with the nonverbal audio part of speech such as tone, pitch, intonation and pause etc. which come alongside spoken language (Negi, 2009).</w:t>
      </w:r>
    </w:p>
    <w:p w14:paraId="1CE6AD55"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The paralinguistic feature examined here is vocal cues—all of the oral aspects of sound except words themselves. Vocal cues include:</w:t>
      </w:r>
    </w:p>
    <w:p w14:paraId="589469A6"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Pitch: the highness or lowness of your voice.</w:t>
      </w:r>
    </w:p>
    <w:p w14:paraId="50A5E1FE"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Rate: how rapidly or slowly you speak.</w:t>
      </w:r>
    </w:p>
    <w:p w14:paraId="06DB9B34"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Inflection: the variety or changes in pitch.</w:t>
      </w:r>
    </w:p>
    <w:p w14:paraId="31DDC9C5"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Volume: the loudness or softness of your voice.</w:t>
      </w:r>
    </w:p>
    <w:p w14:paraId="24926708"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Quality: the unique resonance of your voice, such as huskiness,  nasality, rapines, or whininess.</w:t>
      </w:r>
    </w:p>
    <w:p w14:paraId="1F8756EE"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Nonword sounds: “mmh”,”huh”,”ahh” and the like, as well as pauses or the absence of sound used for effect in speaking.</w:t>
      </w:r>
    </w:p>
    <w:p w14:paraId="261EA4B5"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Pronunciation: whether or not you say a word correctly</w:t>
      </w:r>
    </w:p>
    <w:p w14:paraId="00A168BB"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Articulation: whether or not your mouth, tongue and teeth coordinate to make a word understandable to others (such as a lisp)</w:t>
      </w:r>
    </w:p>
    <w:p w14:paraId="4B3B9185"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Enunciation: whether or not you combine pronunciation and articulation to produce a word with clarity and distinction so that it can be understood. A person who mumbles has an enunciation problem.</w:t>
      </w:r>
    </w:p>
    <w:p w14:paraId="474A6F03" w14:textId="77777777" w:rsidR="000B1D94" w:rsidRPr="000B1D94" w:rsidRDefault="000B1D94" w:rsidP="000B1D94">
      <w:pPr>
        <w:pStyle w:val="ListParagraph"/>
        <w:numPr>
          <w:ilvl w:val="0"/>
          <w:numId w:val="9"/>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Silence: the lack of sound</w:t>
      </w:r>
    </w:p>
    <w:p w14:paraId="0D91A746"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The tone of voice is a means by which the speaker implies his or her attitude to the message. It is also a means by which he seeks a reaction from the hearer.</w:t>
      </w:r>
    </w:p>
    <w:p w14:paraId="27CAF276" w14:textId="77777777" w:rsidR="000B1D94" w:rsidRPr="000B1D94" w:rsidRDefault="000B1D94" w:rsidP="000B1D94">
      <w:pPr>
        <w:pStyle w:val="ListParagraph"/>
        <w:numPr>
          <w:ilvl w:val="0"/>
          <w:numId w:val="8"/>
        </w:numPr>
        <w:spacing w:line="480" w:lineRule="auto"/>
        <w:jc w:val="both"/>
        <w:rPr>
          <w:rFonts w:ascii="Times New Roman" w:hAnsi="Times New Roman" w:cs="Times New Roman"/>
          <w:sz w:val="24"/>
          <w:szCs w:val="24"/>
        </w:rPr>
      </w:pPr>
      <w:r w:rsidRPr="000B1D94">
        <w:rPr>
          <w:rFonts w:ascii="Times New Roman" w:hAnsi="Times New Roman" w:cs="Times New Roman"/>
          <w:sz w:val="24"/>
          <w:szCs w:val="24"/>
        </w:rPr>
        <w:t>Physical Appearance</w:t>
      </w:r>
    </w:p>
    <w:p w14:paraId="2FC45E07"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Negi (2009) proposes physical appearance as nonverbal behavior which refers to the attributes of image such as attractiveness, height, weight, body shape, hair style, and dress and so on. These attributes can be classified into two categories: controllable e.g. clothes, hair style etc. and less controllable e.g. skin color, height, body shape etc.</w:t>
      </w:r>
    </w:p>
    <w:p w14:paraId="1B57FF1F" w14:textId="77777777" w:rsidR="000B1D94" w:rsidRPr="000B1D94" w:rsidRDefault="000B1D94" w:rsidP="000B1D94">
      <w:pPr>
        <w:spacing w:line="480" w:lineRule="auto"/>
        <w:ind w:firstLine="360"/>
        <w:jc w:val="both"/>
        <w:rPr>
          <w:rFonts w:ascii="Times New Roman" w:hAnsi="Times New Roman" w:cs="Times New Roman"/>
          <w:sz w:val="24"/>
          <w:szCs w:val="24"/>
        </w:rPr>
      </w:pPr>
      <w:r w:rsidRPr="000B1D94">
        <w:rPr>
          <w:rFonts w:ascii="Times New Roman" w:hAnsi="Times New Roman" w:cs="Times New Roman"/>
          <w:sz w:val="24"/>
          <w:szCs w:val="24"/>
        </w:rPr>
        <w:t>According to Richmond and McCroskey in Cuny and Wilde (The Virginia English Bulletin, 2004) teachers who dress formally are perceived as being competent, organized and knowledgeable about content, but teachers who dress casually can be perceived as friendly and outgoing. Moreover, Brown (2000) indicates that clothes often signal a person’s sense of self-esteem, socioeconomic class and general character. Beside clothes, jewelry also conveys certain messages in the process of communication.</w:t>
      </w:r>
    </w:p>
    <w:p w14:paraId="19E3142B" w14:textId="77777777" w:rsidR="000B1D94" w:rsidRPr="000B1D94" w:rsidRDefault="000B1D94" w:rsidP="000B1D94">
      <w:pPr>
        <w:pStyle w:val="Heading3"/>
        <w:numPr>
          <w:ilvl w:val="2"/>
          <w:numId w:val="2"/>
        </w:numPr>
        <w:spacing w:line="480" w:lineRule="auto"/>
        <w:ind w:left="630" w:hanging="630"/>
        <w:jc w:val="both"/>
        <w:rPr>
          <w:rFonts w:ascii="Times New Roman" w:hAnsi="Times New Roman" w:cs="Times New Roman"/>
          <w:color w:val="auto"/>
        </w:rPr>
      </w:pPr>
      <w:bookmarkStart w:id="18" w:name="_Toc370986165"/>
      <w:bookmarkStart w:id="19" w:name="_Toc372750550"/>
      <w:r w:rsidRPr="000B1D94">
        <w:rPr>
          <w:rFonts w:ascii="Times New Roman" w:hAnsi="Times New Roman" w:cs="Times New Roman"/>
          <w:color w:val="auto"/>
        </w:rPr>
        <w:t>The Function of Nonverbal cues</w:t>
      </w:r>
      <w:bookmarkEnd w:id="18"/>
      <w:bookmarkEnd w:id="19"/>
    </w:p>
    <w:p w14:paraId="3789692C"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There are numerous functions of nonverbal behavior, even if he or she is not aware of them. Human beings use nonverbal means to persuade or to control others, to clarify or embellish things, to stress, complement, regulate and repeat verbal expressions. They can also be used to substitute verbal expression, as this is the case with several body gestures. Nonverbal communication is emotionally expressive and so any discourse appealing to the receivers emotions has a persuasive impact.</w:t>
      </w:r>
    </w:p>
    <w:p w14:paraId="2D9495A0"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Although many nonverbal means are innate and universal, (i.e. people in different culture have a common understanding of these cues), the contribution of nonverbal communication to the total meaning of a discourse can be culturally determined and differ in different countries.</w:t>
      </w:r>
    </w:p>
    <w:p w14:paraId="383CF065"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However, Darn (Internet TSL Journal 2005) shows us some main function of nonverbal cues that drawn in the following table:</w:t>
      </w:r>
    </w:p>
    <w:p w14:paraId="14DF214B" w14:textId="77777777" w:rsidR="000B1D94" w:rsidRPr="000B1D94" w:rsidRDefault="000B1D94" w:rsidP="000B1D94">
      <w:pPr>
        <w:spacing w:line="240" w:lineRule="auto"/>
        <w:ind w:firstLine="450"/>
        <w:jc w:val="center"/>
        <w:rPr>
          <w:rFonts w:ascii="Times New Roman" w:hAnsi="Times New Roman" w:cs="Times New Roman"/>
          <w:i/>
          <w:sz w:val="24"/>
          <w:szCs w:val="24"/>
        </w:rPr>
      </w:pPr>
      <w:r w:rsidRPr="000B1D94">
        <w:rPr>
          <w:rFonts w:ascii="Times New Roman" w:hAnsi="Times New Roman" w:cs="Times New Roman"/>
          <w:i/>
          <w:sz w:val="24"/>
          <w:szCs w:val="24"/>
        </w:rPr>
        <w:t>Table 2.2: Main Function of Nonverbal Communication</w:t>
      </w:r>
    </w:p>
    <w:tbl>
      <w:tblPr>
        <w:tblStyle w:val="TableGrid"/>
        <w:tblW w:w="0" w:type="auto"/>
        <w:tblLook w:val="04A0" w:firstRow="1" w:lastRow="0" w:firstColumn="1" w:lastColumn="0" w:noHBand="0" w:noVBand="1"/>
      </w:tblPr>
      <w:tblGrid>
        <w:gridCol w:w="4120"/>
        <w:gridCol w:w="4136"/>
      </w:tblGrid>
      <w:tr w:rsidR="000B1D94" w:rsidRPr="000B1D94" w14:paraId="3EB45BD8" w14:textId="77777777" w:rsidTr="00AF44AA">
        <w:tc>
          <w:tcPr>
            <w:tcW w:w="4241" w:type="dxa"/>
            <w:vAlign w:val="center"/>
          </w:tcPr>
          <w:p w14:paraId="4F0D027A" w14:textId="77777777" w:rsidR="000B1D94" w:rsidRPr="000B1D94" w:rsidRDefault="000B1D94" w:rsidP="00AF44AA">
            <w:pPr>
              <w:jc w:val="center"/>
              <w:rPr>
                <w:rFonts w:ascii="Times New Roman" w:hAnsi="Times New Roman" w:cs="Times New Roman"/>
                <w:b/>
                <w:sz w:val="24"/>
                <w:szCs w:val="24"/>
              </w:rPr>
            </w:pPr>
            <w:r w:rsidRPr="000B1D94">
              <w:rPr>
                <w:rFonts w:ascii="Times New Roman" w:hAnsi="Times New Roman" w:cs="Times New Roman"/>
                <w:b/>
                <w:sz w:val="24"/>
                <w:szCs w:val="24"/>
              </w:rPr>
              <w:t>Form</w:t>
            </w:r>
          </w:p>
        </w:tc>
        <w:tc>
          <w:tcPr>
            <w:tcW w:w="4241" w:type="dxa"/>
            <w:vAlign w:val="center"/>
          </w:tcPr>
          <w:p w14:paraId="4124E00E" w14:textId="77777777" w:rsidR="000B1D94" w:rsidRPr="000B1D94" w:rsidRDefault="000B1D94" w:rsidP="00AF44AA">
            <w:pPr>
              <w:jc w:val="center"/>
              <w:rPr>
                <w:rFonts w:ascii="Times New Roman" w:hAnsi="Times New Roman" w:cs="Times New Roman"/>
                <w:b/>
                <w:sz w:val="24"/>
                <w:szCs w:val="24"/>
              </w:rPr>
            </w:pPr>
            <w:r w:rsidRPr="000B1D94">
              <w:rPr>
                <w:rFonts w:ascii="Times New Roman" w:hAnsi="Times New Roman" w:cs="Times New Roman"/>
                <w:b/>
                <w:sz w:val="24"/>
                <w:szCs w:val="24"/>
              </w:rPr>
              <w:t>Main Function (in some culture)</w:t>
            </w:r>
          </w:p>
        </w:tc>
      </w:tr>
      <w:tr w:rsidR="000B1D94" w:rsidRPr="000B1D94" w14:paraId="6E4C4A5B" w14:textId="77777777" w:rsidTr="00AF44AA">
        <w:tc>
          <w:tcPr>
            <w:tcW w:w="4241" w:type="dxa"/>
            <w:vAlign w:val="center"/>
          </w:tcPr>
          <w:p w14:paraId="28343062"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Nod (Yes)</w:t>
            </w:r>
          </w:p>
        </w:tc>
        <w:tc>
          <w:tcPr>
            <w:tcW w:w="4241" w:type="dxa"/>
            <w:vAlign w:val="center"/>
          </w:tcPr>
          <w:p w14:paraId="7530DAF1"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Repeating</w:t>
            </w:r>
          </w:p>
        </w:tc>
      </w:tr>
      <w:tr w:rsidR="000B1D94" w:rsidRPr="000B1D94" w14:paraId="64DF4D9B" w14:textId="77777777" w:rsidTr="00AF44AA">
        <w:tc>
          <w:tcPr>
            <w:tcW w:w="4241" w:type="dxa"/>
            <w:vAlign w:val="center"/>
          </w:tcPr>
          <w:p w14:paraId="7FCD7A2B"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Shrug ( I don’t know)</w:t>
            </w:r>
          </w:p>
        </w:tc>
        <w:tc>
          <w:tcPr>
            <w:tcW w:w="4241" w:type="dxa"/>
            <w:vAlign w:val="center"/>
          </w:tcPr>
          <w:p w14:paraId="08D4C03B"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Substituting</w:t>
            </w:r>
          </w:p>
        </w:tc>
      </w:tr>
      <w:tr w:rsidR="000B1D94" w:rsidRPr="000B1D94" w14:paraId="61D60173" w14:textId="77777777" w:rsidTr="00AF44AA">
        <w:tc>
          <w:tcPr>
            <w:tcW w:w="4241" w:type="dxa"/>
            <w:vAlign w:val="center"/>
          </w:tcPr>
          <w:p w14:paraId="65B119A9"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Scratch head, quizzical look</w:t>
            </w:r>
          </w:p>
        </w:tc>
        <w:tc>
          <w:tcPr>
            <w:tcW w:w="4241" w:type="dxa"/>
            <w:vAlign w:val="center"/>
          </w:tcPr>
          <w:p w14:paraId="563246E1"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Complementing</w:t>
            </w:r>
          </w:p>
        </w:tc>
      </w:tr>
      <w:tr w:rsidR="000B1D94" w:rsidRPr="000B1D94" w14:paraId="5876AE8F" w14:textId="77777777" w:rsidTr="00AF44AA">
        <w:tc>
          <w:tcPr>
            <w:tcW w:w="4241" w:type="dxa"/>
            <w:vAlign w:val="center"/>
          </w:tcPr>
          <w:p w14:paraId="6A027F34"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Tone of voice, pointing</w:t>
            </w:r>
          </w:p>
        </w:tc>
        <w:tc>
          <w:tcPr>
            <w:tcW w:w="4241" w:type="dxa"/>
            <w:vAlign w:val="center"/>
          </w:tcPr>
          <w:p w14:paraId="7CD6D357"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Accenting</w:t>
            </w:r>
          </w:p>
        </w:tc>
      </w:tr>
      <w:tr w:rsidR="000B1D94" w:rsidRPr="000B1D94" w14:paraId="44926B73" w14:textId="77777777" w:rsidTr="00AF44AA">
        <w:tc>
          <w:tcPr>
            <w:tcW w:w="4241" w:type="dxa"/>
            <w:vAlign w:val="center"/>
          </w:tcPr>
          <w:p w14:paraId="5C138AD3"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Hand raised</w:t>
            </w:r>
          </w:p>
        </w:tc>
        <w:tc>
          <w:tcPr>
            <w:tcW w:w="4241" w:type="dxa"/>
            <w:vAlign w:val="center"/>
          </w:tcPr>
          <w:p w14:paraId="74C1A98D"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Regulating, turn taking</w:t>
            </w:r>
          </w:p>
        </w:tc>
      </w:tr>
      <w:tr w:rsidR="000B1D94" w:rsidRPr="000B1D94" w14:paraId="58DBA49F" w14:textId="77777777" w:rsidTr="00AF44AA">
        <w:tc>
          <w:tcPr>
            <w:tcW w:w="4241" w:type="dxa"/>
            <w:vAlign w:val="center"/>
          </w:tcPr>
          <w:p w14:paraId="403103E7"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Head shake</w:t>
            </w:r>
          </w:p>
        </w:tc>
        <w:tc>
          <w:tcPr>
            <w:tcW w:w="4241" w:type="dxa"/>
            <w:vAlign w:val="center"/>
          </w:tcPr>
          <w:p w14:paraId="336F88B0"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Contradicting</w:t>
            </w:r>
          </w:p>
        </w:tc>
      </w:tr>
      <w:tr w:rsidR="000B1D94" w:rsidRPr="000B1D94" w14:paraId="5133C444" w14:textId="77777777" w:rsidTr="00AF44AA">
        <w:tc>
          <w:tcPr>
            <w:tcW w:w="4241" w:type="dxa"/>
            <w:vAlign w:val="center"/>
          </w:tcPr>
          <w:p w14:paraId="7D475C0C"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Eye movements</w:t>
            </w:r>
          </w:p>
        </w:tc>
        <w:tc>
          <w:tcPr>
            <w:tcW w:w="4241" w:type="dxa"/>
            <w:vAlign w:val="center"/>
          </w:tcPr>
          <w:p w14:paraId="35A334F7"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Deceiving</w:t>
            </w:r>
          </w:p>
        </w:tc>
      </w:tr>
      <w:tr w:rsidR="000B1D94" w:rsidRPr="000B1D94" w14:paraId="357B5AC1" w14:textId="77777777" w:rsidTr="00AF44AA">
        <w:tc>
          <w:tcPr>
            <w:tcW w:w="4241" w:type="dxa"/>
            <w:vAlign w:val="center"/>
          </w:tcPr>
          <w:p w14:paraId="49FD4B0E"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Raised fist</w:t>
            </w:r>
          </w:p>
        </w:tc>
        <w:tc>
          <w:tcPr>
            <w:tcW w:w="4241" w:type="dxa"/>
            <w:vAlign w:val="center"/>
          </w:tcPr>
          <w:p w14:paraId="15353693"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Aggression</w:t>
            </w:r>
          </w:p>
        </w:tc>
      </w:tr>
      <w:tr w:rsidR="000B1D94" w:rsidRPr="000B1D94" w14:paraId="5EEC9510" w14:textId="77777777" w:rsidTr="00AF44AA">
        <w:tc>
          <w:tcPr>
            <w:tcW w:w="4241" w:type="dxa"/>
            <w:vAlign w:val="center"/>
          </w:tcPr>
          <w:p w14:paraId="58555E2D"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Handshake</w:t>
            </w:r>
          </w:p>
        </w:tc>
        <w:tc>
          <w:tcPr>
            <w:tcW w:w="4241" w:type="dxa"/>
            <w:vAlign w:val="center"/>
          </w:tcPr>
          <w:p w14:paraId="5E0AC9CD"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Socializing</w:t>
            </w:r>
          </w:p>
        </w:tc>
      </w:tr>
      <w:tr w:rsidR="000B1D94" w:rsidRPr="000B1D94" w14:paraId="1B014A15" w14:textId="77777777" w:rsidTr="00AF44AA">
        <w:tc>
          <w:tcPr>
            <w:tcW w:w="4241" w:type="dxa"/>
            <w:vAlign w:val="center"/>
          </w:tcPr>
          <w:p w14:paraId="351F6D9D"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Touching, kissing</w:t>
            </w:r>
          </w:p>
        </w:tc>
        <w:tc>
          <w:tcPr>
            <w:tcW w:w="4241" w:type="dxa"/>
            <w:vAlign w:val="center"/>
          </w:tcPr>
          <w:p w14:paraId="11BD01F8"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Arousal</w:t>
            </w:r>
          </w:p>
        </w:tc>
      </w:tr>
      <w:tr w:rsidR="000B1D94" w:rsidRPr="000B1D94" w14:paraId="1C004A6D" w14:textId="77777777" w:rsidTr="00AF44AA">
        <w:tc>
          <w:tcPr>
            <w:tcW w:w="4241" w:type="dxa"/>
            <w:vAlign w:val="center"/>
          </w:tcPr>
          <w:p w14:paraId="1B83C9F1" w14:textId="77777777" w:rsidR="000B1D94" w:rsidRPr="000B1D94" w:rsidRDefault="000B1D94" w:rsidP="00AF44AA">
            <w:pPr>
              <w:rPr>
                <w:rFonts w:ascii="Times New Roman" w:hAnsi="Times New Roman" w:cs="Times New Roman"/>
                <w:b/>
                <w:sz w:val="24"/>
                <w:szCs w:val="24"/>
              </w:rPr>
            </w:pPr>
            <w:r w:rsidRPr="000B1D94">
              <w:rPr>
                <w:rFonts w:ascii="Times New Roman" w:hAnsi="Times New Roman" w:cs="Times New Roman"/>
                <w:b/>
                <w:sz w:val="24"/>
                <w:szCs w:val="24"/>
              </w:rPr>
              <w:t>Over-adornment</w:t>
            </w:r>
          </w:p>
        </w:tc>
        <w:tc>
          <w:tcPr>
            <w:tcW w:w="4241" w:type="dxa"/>
            <w:vAlign w:val="center"/>
          </w:tcPr>
          <w:p w14:paraId="29E6F2E0" w14:textId="77777777" w:rsidR="000B1D94" w:rsidRPr="000B1D94" w:rsidRDefault="000B1D94" w:rsidP="00AF44AA">
            <w:pPr>
              <w:rPr>
                <w:rFonts w:ascii="Times New Roman" w:hAnsi="Times New Roman" w:cs="Times New Roman"/>
                <w:sz w:val="24"/>
                <w:szCs w:val="24"/>
              </w:rPr>
            </w:pPr>
            <w:r w:rsidRPr="000B1D94">
              <w:rPr>
                <w:rFonts w:ascii="Times New Roman" w:hAnsi="Times New Roman" w:cs="Times New Roman"/>
                <w:sz w:val="24"/>
                <w:szCs w:val="24"/>
              </w:rPr>
              <w:t>Boasting</w:t>
            </w:r>
          </w:p>
        </w:tc>
      </w:tr>
    </w:tbl>
    <w:p w14:paraId="52340346" w14:textId="77777777" w:rsidR="000B1D94" w:rsidRPr="000B1D94" w:rsidRDefault="000B1D94" w:rsidP="000B1D94">
      <w:pPr>
        <w:spacing w:line="480" w:lineRule="auto"/>
        <w:ind w:firstLine="450"/>
        <w:jc w:val="both"/>
        <w:rPr>
          <w:rFonts w:ascii="Times New Roman" w:hAnsi="Times New Roman" w:cs="Times New Roman"/>
          <w:sz w:val="24"/>
          <w:szCs w:val="24"/>
        </w:rPr>
      </w:pPr>
    </w:p>
    <w:p w14:paraId="306E7FCE" w14:textId="77777777" w:rsidR="000B1D94" w:rsidRPr="000B1D94" w:rsidRDefault="000B1D94" w:rsidP="000B1D94">
      <w:pPr>
        <w:spacing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Those main functions of nonverbal communication are certainly different from culture to culture. It is the teacher’s duty to comprehend the nonverbal communication that is available in his/her classroom environment.</w:t>
      </w:r>
    </w:p>
    <w:p w14:paraId="1A29C07B" w14:textId="77777777" w:rsidR="000B1D94" w:rsidRPr="000B1D94" w:rsidRDefault="000B1D94" w:rsidP="000B1D94">
      <w:pPr>
        <w:spacing w:line="480" w:lineRule="auto"/>
        <w:ind w:firstLine="450"/>
        <w:jc w:val="both"/>
        <w:rPr>
          <w:rFonts w:ascii="Times New Roman" w:hAnsi="Times New Roman" w:cs="Times New Roman"/>
          <w:sz w:val="24"/>
          <w:szCs w:val="24"/>
        </w:rPr>
        <w:sectPr w:rsidR="000B1D94" w:rsidRPr="000B1D94" w:rsidSect="007340F0">
          <w:pgSz w:w="12240" w:h="15840"/>
          <w:pgMar w:top="2275" w:right="1699" w:bottom="1699" w:left="2275" w:header="720" w:footer="720" w:gutter="0"/>
          <w:cols w:space="720"/>
          <w:docGrid w:linePitch="360"/>
        </w:sectPr>
      </w:pPr>
      <w:r w:rsidRPr="000B1D94">
        <w:rPr>
          <w:rFonts w:ascii="Times New Roman" w:hAnsi="Times New Roman" w:cs="Times New Roman"/>
          <w:sz w:val="24"/>
          <w:szCs w:val="24"/>
        </w:rPr>
        <w:t>Negi (2009) says that nonverbal communication occurs simultaneously with the verbal message. This has at least four main functions; substitute, complement, regulate and contradict. The substitution of nonverbal message occurs when a nonverbal cue is used instead of verbal one. For example, a head node to indicate ‘yes’, pat on shoulder to show intimacy and so on. Nonverbal behaviors also compliment, expand or modify the verbal message. For example, a teacher looking confident while delivering the lecture in the class enhances the quality of teaching. Nonverbal message regulate the conversational flow as well. For example, gestures, head movements and many other behaviors indicate how the interaction should progress.</w:t>
      </w:r>
    </w:p>
    <w:p w14:paraId="4EC9DC77" w14:textId="77777777" w:rsidR="000B1D94" w:rsidRPr="000B1D94" w:rsidRDefault="000B1D94" w:rsidP="000B1D94">
      <w:pPr>
        <w:pStyle w:val="Heading2"/>
        <w:spacing w:line="480" w:lineRule="auto"/>
        <w:jc w:val="both"/>
        <w:rPr>
          <w:rFonts w:ascii="Times New Roman" w:hAnsi="Times New Roman" w:cs="Times New Roman"/>
          <w:color w:val="auto"/>
          <w:sz w:val="24"/>
          <w:szCs w:val="24"/>
        </w:rPr>
      </w:pPr>
      <w:bookmarkStart w:id="20" w:name="_Toc370986166"/>
      <w:bookmarkStart w:id="21" w:name="_Toc372750551"/>
      <w:r w:rsidRPr="000B1D94">
        <w:rPr>
          <w:rFonts w:ascii="Times New Roman" w:hAnsi="Times New Roman" w:cs="Times New Roman"/>
          <w:color w:val="auto"/>
          <w:sz w:val="24"/>
          <w:szCs w:val="24"/>
        </w:rPr>
        <w:t>2.4 The Relationship between Teacher Immediacy and Students’ motivation</w:t>
      </w:r>
      <w:bookmarkEnd w:id="20"/>
      <w:bookmarkEnd w:id="21"/>
      <w:r w:rsidRPr="000B1D94">
        <w:rPr>
          <w:rFonts w:ascii="Times New Roman" w:hAnsi="Times New Roman" w:cs="Times New Roman"/>
          <w:color w:val="auto"/>
          <w:sz w:val="24"/>
          <w:szCs w:val="24"/>
        </w:rPr>
        <w:t xml:space="preserve"> </w:t>
      </w:r>
    </w:p>
    <w:p w14:paraId="311B9A65"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 xml:space="preserve">Farmer (2001) explains the most essential norm in student motivation that should receive primary emphasis is the behavior of the teacher. Russell (1971) indicates teachers are the most influential determiners of students‘ learning motivation. The influence of the teacher and the learning environment may replace methods and curriculum as the focus of educational research (Bond &amp; Dykstra, 1967; Harris, 1969). Skinner and Belmont (1993) did research that focused on how teacher behavior influenced student‘s learning motivation. The research found there was a reciprocal relationship between teacher‘s behavior and student‘s engagement in the classroom. As Skinner and Belmont concluded, teacher‘s behavior influences students‘ perceptions of their interaction with teachers. Teacher‘s involvement with individual students has the most powerful impact on students‘ perceptions of the teacher. When teachers are less involved with students, students not only miss the involvement, but also perceive teachers as less consistent and more coercive. In this research, they also found teacher‘s behavior influenced students‘ engagement, both behavioral and emotional. </w:t>
      </w:r>
    </w:p>
    <w:p w14:paraId="0AFEF461" w14:textId="77777777" w:rsidR="000B1D94" w:rsidRPr="000B1D94" w:rsidRDefault="000B1D94" w:rsidP="000B1D94">
      <w:pPr>
        <w:autoSpaceDE w:val="0"/>
        <w:autoSpaceDN w:val="0"/>
        <w:adjustRightInd w:val="0"/>
        <w:spacing w:after="0" w:line="480" w:lineRule="auto"/>
        <w:ind w:firstLine="450"/>
        <w:jc w:val="both"/>
        <w:rPr>
          <w:rFonts w:ascii="Times New Roman" w:hAnsi="Times New Roman" w:cs="Times New Roman"/>
          <w:sz w:val="24"/>
          <w:szCs w:val="24"/>
        </w:rPr>
      </w:pPr>
      <w:r w:rsidRPr="000B1D94">
        <w:rPr>
          <w:rFonts w:ascii="Times New Roman" w:hAnsi="Times New Roman" w:cs="Times New Roman"/>
          <w:sz w:val="24"/>
          <w:szCs w:val="24"/>
        </w:rPr>
        <w:t>Students‘ learning attitude and learning motivation are influenced both by their perceptions of teachers and directly by teachers‘ actual behaviors (Allen et al., 2006). When students perceive their teachers are providing clear expectations, contingent response, and strategic help, they are more likely to exert more effort and be persistent. In other words, they are more motivated to learn. The students feel happier and more enthusiastic in class if they experience teachers‘ warmth and affection. When teachers focus their attitudes and actions upon this concept of teaching, they begin to see themselves differently. They become instruments, dynamic and influential, whereby the conditions develop to maximize the likelihood that motivation and learning will occur (Russell, 1971).</w:t>
      </w:r>
    </w:p>
    <w:p w14:paraId="71F1DEFD" w14:textId="77777777" w:rsidR="000B1D94" w:rsidRPr="000B1D94" w:rsidRDefault="000B1D94" w:rsidP="000B1D94">
      <w:pPr>
        <w:autoSpaceDE w:val="0"/>
        <w:autoSpaceDN w:val="0"/>
        <w:adjustRightInd w:val="0"/>
        <w:spacing w:after="0" w:line="480" w:lineRule="auto"/>
        <w:jc w:val="both"/>
        <w:rPr>
          <w:rFonts w:ascii="Times New Roman" w:hAnsi="Times New Roman" w:cs="Times New Roman"/>
          <w:sz w:val="24"/>
          <w:szCs w:val="24"/>
        </w:rPr>
      </w:pPr>
      <w:r w:rsidRPr="000B1D94">
        <w:rPr>
          <w:rFonts w:ascii="Times New Roman" w:hAnsi="Times New Roman" w:cs="Times New Roman"/>
          <w:sz w:val="24"/>
          <w:szCs w:val="24"/>
        </w:rPr>
        <w:tab/>
        <w:t>The statements above show that the teacher nonverbal immediacy which used effectively will influence the students’ motivation in learning a subject. Then, this condition will force the teachers to give more attention to the nonverbal communication he/she use when doing learning activities in the classroom in order to grow up and maintain the students’ motivation.</w:t>
      </w:r>
    </w:p>
    <w:p w14:paraId="487DE635" w14:textId="3154A079" w:rsidR="00410109" w:rsidRPr="000B1D94" w:rsidRDefault="00410109">
      <w:pPr>
        <w:rPr>
          <w:rFonts w:ascii="Times New Roman" w:hAnsi="Times New Roman" w:cs="Times New Roman"/>
          <w:sz w:val="24"/>
          <w:szCs w:val="24"/>
        </w:rPr>
      </w:pPr>
    </w:p>
    <w:sectPr w:rsidR="00410109" w:rsidRPr="000B1D94" w:rsidSect="003053CB">
      <w:headerReference w:type="default" r:id="rId8"/>
      <w:footerReference w:type="default" r:id="rId9"/>
      <w:headerReference w:type="first" r:id="rId1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9516407"/>
      <w:docPartObj>
        <w:docPartGallery w:val="Page Numbers (Bottom of Page)"/>
        <w:docPartUnique/>
      </w:docPartObj>
    </w:sdtPr>
    <w:sdtEndPr>
      <w:rPr>
        <w:noProof/>
      </w:rPr>
    </w:sdtEndPr>
    <w:sdtContent>
      <w:p w14:paraId="68697580" w14:textId="77777777" w:rsidR="000B1D94" w:rsidRDefault="000B1D94">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14:paraId="30CDAFC7" w14:textId="77777777" w:rsidR="000B1D94" w:rsidRDefault="000B1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2576335"/>
      <w:docPartObj>
        <w:docPartGallery w:val="Page Numbers (Bottom of Page)"/>
        <w:docPartUnique/>
      </w:docPartObj>
    </w:sdtPr>
    <w:sdtEndPr>
      <w:rPr>
        <w:noProof/>
      </w:rPr>
    </w:sdtEndPr>
    <w:sdtContent>
      <w:p w14:paraId="7D65D90C" w14:textId="77777777" w:rsidR="00000000" w:rsidRDefault="00000000">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4744A2FC"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48120" w14:textId="77777777" w:rsidR="000B1D94" w:rsidRDefault="000B1D94" w:rsidP="00D46BB8">
    <w:pPr>
      <w:pStyle w:val="Header"/>
    </w:pPr>
  </w:p>
  <w:p w14:paraId="32DA9426" w14:textId="77777777" w:rsidR="000B1D94" w:rsidRDefault="000B1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74793" w14:textId="77777777" w:rsidR="00000000" w:rsidRDefault="00000000" w:rsidP="00D8685E">
    <w:pPr>
      <w:pStyle w:val="Header"/>
    </w:pPr>
  </w:p>
  <w:p w14:paraId="62A1B827" w14:textId="77777777" w:rsidR="00000000" w:rsidRDefault="00000000">
    <w:pPr>
      <w:pStyle w:val="Header"/>
    </w:pPr>
  </w:p>
  <w:p w14:paraId="7122A3A1"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E5299" w14:textId="77777777" w:rsidR="00000000" w:rsidRDefault="00000000">
    <w:pPr>
      <w:pStyle w:val="Header"/>
      <w:jc w:val="center"/>
    </w:pPr>
  </w:p>
  <w:p w14:paraId="5DA3AB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66CDB"/>
    <w:multiLevelType w:val="hybridMultilevel"/>
    <w:tmpl w:val="A82E79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D129D0"/>
    <w:multiLevelType w:val="hybridMultilevel"/>
    <w:tmpl w:val="A9F0C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3C7403"/>
    <w:multiLevelType w:val="hybridMultilevel"/>
    <w:tmpl w:val="DD161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4C074C"/>
    <w:multiLevelType w:val="multilevel"/>
    <w:tmpl w:val="67D00A70"/>
    <w:lvl w:ilvl="0">
      <w:start w:val="1"/>
      <w:numFmt w:val="decimal"/>
      <w:lvlText w:val="%1."/>
      <w:lvlJc w:val="left"/>
      <w:pPr>
        <w:ind w:left="750" w:hanging="360"/>
      </w:pPr>
      <w:rPr>
        <w:rFonts w:hint="default"/>
      </w:rPr>
    </w:lvl>
    <w:lvl w:ilvl="1">
      <w:start w:val="1"/>
      <w:numFmt w:val="decimal"/>
      <w:isLgl/>
      <w:lvlText w:val="%1.%2"/>
      <w:lvlJc w:val="left"/>
      <w:pPr>
        <w:ind w:left="810" w:hanging="420"/>
      </w:pPr>
      <w:rPr>
        <w:rFonts w:asciiTheme="majorHAnsi" w:hAnsiTheme="majorHAnsi" w:cstheme="majorBidi" w:hint="default"/>
      </w:rPr>
    </w:lvl>
    <w:lvl w:ilvl="2">
      <w:start w:val="1"/>
      <w:numFmt w:val="decimal"/>
      <w:isLgl/>
      <w:lvlText w:val="%1.%2.%3"/>
      <w:lvlJc w:val="left"/>
      <w:pPr>
        <w:ind w:left="1110" w:hanging="720"/>
      </w:pPr>
      <w:rPr>
        <w:rFonts w:asciiTheme="majorHAnsi" w:hAnsiTheme="majorHAnsi" w:cstheme="majorBidi" w:hint="default"/>
      </w:rPr>
    </w:lvl>
    <w:lvl w:ilvl="3">
      <w:start w:val="1"/>
      <w:numFmt w:val="decimal"/>
      <w:isLgl/>
      <w:lvlText w:val="%1.%2.%3.%4"/>
      <w:lvlJc w:val="left"/>
      <w:pPr>
        <w:ind w:left="1110" w:hanging="720"/>
      </w:pPr>
      <w:rPr>
        <w:rFonts w:asciiTheme="majorHAnsi" w:hAnsiTheme="majorHAnsi" w:cstheme="majorBidi" w:hint="default"/>
      </w:rPr>
    </w:lvl>
    <w:lvl w:ilvl="4">
      <w:start w:val="1"/>
      <w:numFmt w:val="decimal"/>
      <w:isLgl/>
      <w:lvlText w:val="%1.%2.%3.%4.%5"/>
      <w:lvlJc w:val="left"/>
      <w:pPr>
        <w:ind w:left="1470" w:hanging="1080"/>
      </w:pPr>
      <w:rPr>
        <w:rFonts w:asciiTheme="majorHAnsi" w:hAnsiTheme="majorHAnsi" w:cstheme="majorBidi" w:hint="default"/>
      </w:rPr>
    </w:lvl>
    <w:lvl w:ilvl="5">
      <w:start w:val="1"/>
      <w:numFmt w:val="decimal"/>
      <w:isLgl/>
      <w:lvlText w:val="%1.%2.%3.%4.%5.%6"/>
      <w:lvlJc w:val="left"/>
      <w:pPr>
        <w:ind w:left="1470" w:hanging="1080"/>
      </w:pPr>
      <w:rPr>
        <w:rFonts w:asciiTheme="majorHAnsi" w:hAnsiTheme="majorHAnsi" w:cstheme="majorBidi" w:hint="default"/>
      </w:rPr>
    </w:lvl>
    <w:lvl w:ilvl="6">
      <w:start w:val="1"/>
      <w:numFmt w:val="decimal"/>
      <w:isLgl/>
      <w:lvlText w:val="%1.%2.%3.%4.%5.%6.%7"/>
      <w:lvlJc w:val="left"/>
      <w:pPr>
        <w:ind w:left="1830" w:hanging="1440"/>
      </w:pPr>
      <w:rPr>
        <w:rFonts w:asciiTheme="majorHAnsi" w:hAnsiTheme="majorHAnsi" w:cstheme="majorBidi" w:hint="default"/>
      </w:rPr>
    </w:lvl>
    <w:lvl w:ilvl="7">
      <w:start w:val="1"/>
      <w:numFmt w:val="decimal"/>
      <w:isLgl/>
      <w:lvlText w:val="%1.%2.%3.%4.%5.%6.%7.%8"/>
      <w:lvlJc w:val="left"/>
      <w:pPr>
        <w:ind w:left="1830" w:hanging="1440"/>
      </w:pPr>
      <w:rPr>
        <w:rFonts w:asciiTheme="majorHAnsi" w:hAnsiTheme="majorHAnsi" w:cstheme="majorBidi" w:hint="default"/>
      </w:rPr>
    </w:lvl>
    <w:lvl w:ilvl="8">
      <w:start w:val="1"/>
      <w:numFmt w:val="decimal"/>
      <w:isLgl/>
      <w:lvlText w:val="%1.%2.%3.%4.%5.%6.%7.%8.%9"/>
      <w:lvlJc w:val="left"/>
      <w:pPr>
        <w:ind w:left="1830" w:hanging="1440"/>
      </w:pPr>
      <w:rPr>
        <w:rFonts w:asciiTheme="majorHAnsi" w:hAnsiTheme="majorHAnsi" w:cstheme="majorBidi" w:hint="default"/>
      </w:rPr>
    </w:lvl>
  </w:abstractNum>
  <w:abstractNum w:abstractNumId="4" w15:restartNumberingAfterBreak="0">
    <w:nsid w:val="38F426BC"/>
    <w:multiLevelType w:val="multilevel"/>
    <w:tmpl w:val="8504905A"/>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A576E60"/>
    <w:multiLevelType w:val="multilevel"/>
    <w:tmpl w:val="168C71EC"/>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D836B60"/>
    <w:multiLevelType w:val="multilevel"/>
    <w:tmpl w:val="3E9EA9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13558ED"/>
    <w:multiLevelType w:val="multilevel"/>
    <w:tmpl w:val="55BEC1A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76270EED"/>
    <w:multiLevelType w:val="hybridMultilevel"/>
    <w:tmpl w:val="7BF0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261382">
    <w:abstractNumId w:val="6"/>
  </w:num>
  <w:num w:numId="2" w16cid:durableId="108740633">
    <w:abstractNumId w:val="5"/>
  </w:num>
  <w:num w:numId="3" w16cid:durableId="90246713">
    <w:abstractNumId w:val="4"/>
  </w:num>
  <w:num w:numId="4" w16cid:durableId="296834758">
    <w:abstractNumId w:val="7"/>
  </w:num>
  <w:num w:numId="5" w16cid:durableId="607202508">
    <w:abstractNumId w:val="0"/>
  </w:num>
  <w:num w:numId="6" w16cid:durableId="1176455029">
    <w:abstractNumId w:val="1"/>
  </w:num>
  <w:num w:numId="7" w16cid:durableId="1492790701">
    <w:abstractNumId w:val="3"/>
  </w:num>
  <w:num w:numId="8" w16cid:durableId="1496647080">
    <w:abstractNumId w:val="2"/>
  </w:num>
  <w:num w:numId="9" w16cid:durableId="11913813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69"/>
    <w:rsid w:val="000B1D94"/>
    <w:rsid w:val="001465EC"/>
    <w:rsid w:val="00222AC1"/>
    <w:rsid w:val="003053CB"/>
    <w:rsid w:val="00410109"/>
    <w:rsid w:val="004D144A"/>
    <w:rsid w:val="00964469"/>
    <w:rsid w:val="00EA65F8"/>
    <w:rsid w:val="00F926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6F5E"/>
  <w15:chartTrackingRefBased/>
  <w15:docId w15:val="{31F7DE79-2333-45DC-A7FC-6D3EE361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69"/>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96446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F926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B1D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69"/>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964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69"/>
    <w:rPr>
      <w:rFonts w:asciiTheme="minorHAnsi" w:hAnsiTheme="minorHAnsi" w:cstheme="minorBidi"/>
      <w:kern w:val="0"/>
      <w:sz w:val="22"/>
      <w:vertAlign w:val="baseline"/>
      <w:lang w:val="en-US"/>
      <w14:ligatures w14:val="none"/>
    </w:rPr>
  </w:style>
  <w:style w:type="character" w:customStyle="1" w:styleId="Heading1Char">
    <w:name w:val="Heading 1 Char"/>
    <w:basedOn w:val="DefaultParagraphFont"/>
    <w:link w:val="Heading1"/>
    <w:uiPriority w:val="9"/>
    <w:rsid w:val="00964469"/>
    <w:rPr>
      <w:rFonts w:asciiTheme="majorHAnsi" w:eastAsiaTheme="majorEastAsia" w:hAnsiTheme="majorHAnsi" w:cstheme="majorBidi"/>
      <w:b/>
      <w:bCs/>
      <w:color w:val="2F5496" w:themeColor="accent1" w:themeShade="BF"/>
      <w:kern w:val="0"/>
      <w:sz w:val="28"/>
      <w:szCs w:val="28"/>
      <w:vertAlign w:val="baseline"/>
      <w:lang w:val="en-US"/>
      <w14:ligatures w14:val="none"/>
    </w:rPr>
  </w:style>
  <w:style w:type="character" w:customStyle="1" w:styleId="Heading2Char">
    <w:name w:val="Heading 2 Char"/>
    <w:basedOn w:val="DefaultParagraphFont"/>
    <w:link w:val="Heading2"/>
    <w:uiPriority w:val="9"/>
    <w:semiHidden/>
    <w:rsid w:val="00F92651"/>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F92651"/>
    <w:pPr>
      <w:ind w:left="720"/>
      <w:contextualSpacing/>
    </w:pPr>
  </w:style>
  <w:style w:type="character" w:customStyle="1" w:styleId="a">
    <w:name w:val="a"/>
    <w:basedOn w:val="DefaultParagraphFont"/>
    <w:rsid w:val="00F92651"/>
  </w:style>
  <w:style w:type="character" w:customStyle="1" w:styleId="Heading3Char">
    <w:name w:val="Heading 3 Char"/>
    <w:basedOn w:val="DefaultParagraphFont"/>
    <w:link w:val="Heading3"/>
    <w:uiPriority w:val="9"/>
    <w:semiHidden/>
    <w:rsid w:val="000B1D94"/>
    <w:rPr>
      <w:rFonts w:asciiTheme="majorHAnsi" w:eastAsiaTheme="majorEastAsia" w:hAnsiTheme="majorHAnsi" w:cstheme="majorBidi"/>
      <w:color w:val="1F3763" w:themeColor="accent1" w:themeShade="7F"/>
      <w:kern w:val="0"/>
      <w:szCs w:val="24"/>
      <w:vertAlign w:val="baseline"/>
      <w:lang w:val="en-US"/>
      <w14:ligatures w14:val="none"/>
    </w:rPr>
  </w:style>
  <w:style w:type="table" w:styleId="TableGrid">
    <w:name w:val="Table Grid"/>
    <w:basedOn w:val="TableNormal"/>
    <w:uiPriority w:val="59"/>
    <w:rsid w:val="000B1D94"/>
    <w:pPr>
      <w:spacing w:after="0" w:line="240" w:lineRule="auto"/>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Hal66</b:Tag>
    <b:SourceType>Book</b:SourceType>
    <b:Guid>{DDB4203A-E03D-492F-A304-A7E1A67ECF54}</b:Guid>
    <b:Title>The hidden dimension</b:Title>
    <b:Year>1966</b:Year>
    <b:City>New York</b:City>
    <b:Publisher>Doubleda</b:Publisher>
    <b:Author>
      <b:Author>
        <b:NameList>
          <b:Person>
            <b:Last>Hall</b:Last>
            <b:First>E.</b:First>
            <b:Middle>T.</b:Middle>
          </b:Person>
        </b:NameList>
      </b:Author>
    </b:Author>
    <b:RefOrder>1</b:RefOrder>
  </b:Source>
  <b:Source>
    <b:Tag>Kep91</b:Tag>
    <b:SourceType>Book</b:SourceType>
    <b:Guid>{8C11CB8A-8C05-4A1B-A397-2592696C8E20}</b:Guid>
    <b:Author>
      <b:Author>
        <b:NameList>
          <b:Person>
            <b:Last>Keppel</b:Last>
          </b:Person>
        </b:NameList>
      </b:Author>
    </b:Author>
    <b:Title>Design and analysis: A researher's handbook</b:Title>
    <b:Year>1991</b:Year>
    <b:City>Englewood Cliffs. NJ</b:City>
    <b:Publisher>Prentice Hall</b:Publisher>
    <b:RefOrder>2</b:RefOrder>
  </b:Source>
</b:Sources>
</file>

<file path=customXml/itemProps1.xml><?xml version="1.0" encoding="utf-8"?>
<ds:datastoreItem xmlns:ds="http://schemas.openxmlformats.org/officeDocument/2006/customXml" ds:itemID="{3383AE9C-9DC9-42BC-8ECE-747E3A3B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3758</Words>
  <Characters>21422</Characters>
  <Application>Microsoft Office Word</Application>
  <DocSecurity>0</DocSecurity>
  <Lines>178</Lines>
  <Paragraphs>50</Paragraphs>
  <ScaleCrop>false</ScaleCrop>
  <Company/>
  <LinksUpToDate>false</LinksUpToDate>
  <CharactersWithSpaces>25130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2023-07-22T06:33:00Z</dcterms:created>
  <dcterms:modified xsi:type="dcterms:W3CDTF">2023-07-22T06:33:00Z</dcterms:modified>
</cp:coreProperties>
</file>