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A04" w:rsidRDefault="00D04A04" w:rsidP="00D04A04">
      <w:pPr>
        <w:spacing w:line="480" w:lineRule="auto"/>
        <w:jc w:val="center"/>
        <w:rPr>
          <w:rFonts w:ascii="Times New Roman" w:hAnsi="Times New Roman" w:cs="Times New Roman"/>
          <w:b/>
          <w:sz w:val="24"/>
        </w:rPr>
      </w:pPr>
      <w:r>
        <w:rPr>
          <w:rFonts w:ascii="Times New Roman" w:hAnsi="Times New Roman" w:cs="Times New Roman"/>
          <w:b/>
          <w:sz w:val="24"/>
        </w:rPr>
        <w:t>ABSTRAK</w:t>
      </w:r>
    </w:p>
    <w:p w:rsidR="00D04A04" w:rsidRDefault="00D04A04" w:rsidP="00D04A04">
      <w:pPr>
        <w:jc w:val="center"/>
        <w:rPr>
          <w:rFonts w:ascii="Times New Roman" w:hAnsi="Times New Roman" w:cs="Times New Roman"/>
          <w:b/>
          <w:sz w:val="24"/>
        </w:rPr>
      </w:pPr>
      <w:r w:rsidRPr="008F464B">
        <w:rPr>
          <w:rFonts w:ascii="Times New Roman" w:hAnsi="Times New Roman" w:cs="Times New Roman"/>
          <w:b/>
          <w:sz w:val="24"/>
        </w:rPr>
        <w:t xml:space="preserve">EFEKTIVITAS APLIKASI </w:t>
      </w:r>
      <w:r w:rsidRPr="008F464B">
        <w:rPr>
          <w:rFonts w:ascii="Times New Roman" w:hAnsi="Times New Roman" w:cs="Times New Roman"/>
          <w:b/>
          <w:i/>
          <w:sz w:val="24"/>
        </w:rPr>
        <w:t>SEESAW</w:t>
      </w:r>
      <w:r w:rsidRPr="008F464B">
        <w:rPr>
          <w:rFonts w:ascii="Times New Roman" w:hAnsi="Times New Roman" w:cs="Times New Roman"/>
          <w:b/>
          <w:sz w:val="24"/>
        </w:rPr>
        <w:t xml:space="preserve"> PADA MATA PELAJARAN ADMINISTRASI INFRASTUKTUR JARINGAN (AIJ) DALAM MENINGKATKAN PEMAHAMAN SISWA KELAS XI TKJ DI SMK MUHAMMADIYAH KADUNGORA</w:t>
      </w:r>
    </w:p>
    <w:p w:rsidR="00D04A04" w:rsidRDefault="00D04A04" w:rsidP="00D04A04">
      <w:pPr>
        <w:spacing w:line="480" w:lineRule="auto"/>
        <w:jc w:val="center"/>
        <w:rPr>
          <w:rFonts w:ascii="Times New Roman" w:hAnsi="Times New Roman" w:cs="Times New Roman"/>
          <w:b/>
          <w:sz w:val="24"/>
        </w:rPr>
      </w:pPr>
      <w:r>
        <w:rPr>
          <w:rFonts w:ascii="Times New Roman" w:hAnsi="Times New Roman" w:cs="Times New Roman"/>
          <w:b/>
          <w:sz w:val="24"/>
        </w:rPr>
        <w:t>Oleh: Aldi Fadilah</w:t>
      </w:r>
    </w:p>
    <w:p w:rsidR="00D04A04" w:rsidRPr="00382135" w:rsidRDefault="00D04A04" w:rsidP="00D04A04">
      <w:pPr>
        <w:pStyle w:val="NoSpacing"/>
        <w:jc w:val="both"/>
        <w:rPr>
          <w:rFonts w:ascii="Times New Roman" w:hAnsi="Times New Roman" w:cs="Times New Roman"/>
          <w:sz w:val="24"/>
        </w:rPr>
      </w:pPr>
      <w:r w:rsidRPr="00382135">
        <w:rPr>
          <w:rFonts w:ascii="Times New Roman" w:hAnsi="Times New Roman" w:cs="Times New Roman"/>
          <w:sz w:val="24"/>
        </w:rPr>
        <w:t xml:space="preserve">Penelitian ini bertujuan untuk Mengetahui peningkatan pemahaman siswa antara siswa yang menggunakan </w:t>
      </w:r>
      <w:r w:rsidRPr="00382135">
        <w:rPr>
          <w:rFonts w:ascii="Times New Roman" w:hAnsi="Times New Roman" w:cs="Times New Roman"/>
          <w:i/>
          <w:sz w:val="24"/>
        </w:rPr>
        <w:t xml:space="preserve">seesaw </w:t>
      </w:r>
      <w:r w:rsidRPr="00382135">
        <w:rPr>
          <w:rFonts w:ascii="Times New Roman" w:hAnsi="Times New Roman" w:cs="Times New Roman"/>
          <w:sz w:val="24"/>
        </w:rPr>
        <w:t xml:space="preserve">dengan siswa yang menggunakan </w:t>
      </w:r>
      <w:r w:rsidRPr="00382135">
        <w:rPr>
          <w:rFonts w:ascii="Times New Roman" w:hAnsi="Times New Roman" w:cs="Times New Roman"/>
          <w:i/>
          <w:sz w:val="24"/>
        </w:rPr>
        <w:t xml:space="preserve">e-book, </w:t>
      </w:r>
      <w:r w:rsidRPr="00382135">
        <w:rPr>
          <w:rFonts w:ascii="Times New Roman" w:hAnsi="Times New Roman" w:cs="Times New Roman"/>
          <w:sz w:val="24"/>
        </w:rPr>
        <w:t xml:space="preserve">mendeskripsikan proses pelaksanaan pembelajaran dengan menggunakan </w:t>
      </w:r>
      <w:r w:rsidRPr="00382135">
        <w:rPr>
          <w:rFonts w:ascii="Times New Roman" w:hAnsi="Times New Roman" w:cs="Times New Roman"/>
          <w:i/>
          <w:sz w:val="24"/>
        </w:rPr>
        <w:t xml:space="preserve">seesaw </w:t>
      </w:r>
      <w:r w:rsidRPr="00382135">
        <w:rPr>
          <w:rFonts w:ascii="Times New Roman" w:hAnsi="Times New Roman" w:cs="Times New Roman"/>
          <w:sz w:val="24"/>
        </w:rPr>
        <w:t xml:space="preserve">pada mata pelajaran administrasi Infrastuktur Jaringan (AIJ) dalam meningkatkan pemahaman siswa kelas XI TKJ di SMK Muhammadiyah 1 Kadungora. Metode dan desain pada penelitian ini adalah metode eksperimen dengan menggunakan pretest dan postest desain, dengan subjek penelitian 54 orang peserta didik kelas XI TKJ SMK Muhammadiyah Kadungora, yaitu 27 siswa kelas eksperimen dan 27 siswa kelas kontrol. Pada penelitian ini kelas eksperimen diberikan perlakuan pembelajaran dengan </w:t>
      </w:r>
      <w:r w:rsidRPr="00382135">
        <w:rPr>
          <w:rFonts w:ascii="Times New Roman" w:hAnsi="Times New Roman" w:cs="Times New Roman"/>
          <w:i/>
          <w:sz w:val="24"/>
        </w:rPr>
        <w:t>seesaw</w:t>
      </w:r>
      <w:r w:rsidRPr="00382135">
        <w:rPr>
          <w:rFonts w:ascii="Times New Roman" w:hAnsi="Times New Roman" w:cs="Times New Roman"/>
          <w:sz w:val="24"/>
        </w:rPr>
        <w:t xml:space="preserve">, sedangkan untuk kealas kontrol diberikan perlakuan dengan </w:t>
      </w:r>
      <w:r w:rsidRPr="00382135">
        <w:rPr>
          <w:rFonts w:ascii="Times New Roman" w:hAnsi="Times New Roman" w:cs="Times New Roman"/>
          <w:i/>
          <w:sz w:val="24"/>
        </w:rPr>
        <w:t>e-book</w:t>
      </w:r>
      <w:r w:rsidRPr="00382135">
        <w:rPr>
          <w:rFonts w:ascii="Times New Roman" w:hAnsi="Times New Roman" w:cs="Times New Roman"/>
          <w:sz w:val="24"/>
        </w:rPr>
        <w:t xml:space="preserve">. Instrumen penelitian meliputi tes (pretest dan postest) dan studi dokumentasi. Pengukuran efektivitas dianalisis dengan cara membandingkan rumus N-gain. Perbedaan nilai rata-rata N-gain dianalisis melalui uji t pada taraf signifikasni α = 0,05. Berdasrkan hasil analisis dan tes menunjukan bahwa peserta didik. Dari hasil uji t kelas analisis data menunjukan bahwa pemahaman siswa kelas ekperimen lebih tinggi dibandingkan dengan kelas kontrol. Dengan demikian dapat disimpulkan bahwa </w:t>
      </w:r>
      <w:r w:rsidRPr="00382135">
        <w:rPr>
          <w:rFonts w:ascii="Times New Roman" w:hAnsi="Times New Roman" w:cs="Times New Roman"/>
          <w:i/>
          <w:sz w:val="24"/>
        </w:rPr>
        <w:t>seesaw</w:t>
      </w:r>
      <w:r w:rsidRPr="00382135">
        <w:rPr>
          <w:rFonts w:ascii="Times New Roman" w:hAnsi="Times New Roman" w:cs="Times New Roman"/>
          <w:sz w:val="24"/>
        </w:rPr>
        <w:t xml:space="preserve"> lebih efektiv dibandingkan dengan </w:t>
      </w:r>
      <w:r w:rsidRPr="00382135">
        <w:rPr>
          <w:rFonts w:ascii="Times New Roman" w:hAnsi="Times New Roman" w:cs="Times New Roman"/>
          <w:i/>
          <w:sz w:val="24"/>
        </w:rPr>
        <w:t>e-book</w:t>
      </w:r>
      <w:r w:rsidRPr="00382135">
        <w:rPr>
          <w:rFonts w:ascii="Times New Roman" w:hAnsi="Times New Roman" w:cs="Times New Roman"/>
          <w:sz w:val="24"/>
        </w:rPr>
        <w:t xml:space="preserve"> dalam meningkatkan pemahaman siswa.</w:t>
      </w:r>
    </w:p>
    <w:p w:rsidR="00D04A04" w:rsidRDefault="00D04A04" w:rsidP="00D04A04">
      <w:pPr>
        <w:pStyle w:val="NoSpacing"/>
        <w:rPr>
          <w:rFonts w:ascii="Times New Roman" w:hAnsi="Times New Roman" w:cs="Times New Roman"/>
          <w:sz w:val="24"/>
        </w:rPr>
      </w:pPr>
    </w:p>
    <w:p w:rsidR="00D04A04" w:rsidRDefault="00D04A04" w:rsidP="00D04A04">
      <w:pPr>
        <w:pStyle w:val="NoSpacing"/>
        <w:rPr>
          <w:rFonts w:ascii="Times New Roman" w:hAnsi="Times New Roman" w:cs="Times New Roman"/>
          <w:sz w:val="24"/>
        </w:rPr>
      </w:pPr>
    </w:p>
    <w:p w:rsidR="00D04A04" w:rsidRPr="00382135" w:rsidRDefault="00D04A04" w:rsidP="00D04A04">
      <w:pPr>
        <w:pStyle w:val="NoSpacing"/>
        <w:rPr>
          <w:rFonts w:ascii="Times New Roman" w:hAnsi="Times New Roman" w:cs="Times New Roman"/>
          <w:sz w:val="24"/>
        </w:rPr>
      </w:pPr>
      <w:r w:rsidRPr="00382135">
        <w:rPr>
          <w:rFonts w:ascii="Times New Roman" w:hAnsi="Times New Roman" w:cs="Times New Roman"/>
          <w:sz w:val="24"/>
        </w:rPr>
        <w:t xml:space="preserve">Kata kunci: </w:t>
      </w:r>
      <w:r w:rsidRPr="00382135">
        <w:rPr>
          <w:rFonts w:ascii="Times New Roman" w:hAnsi="Times New Roman" w:cs="Times New Roman"/>
          <w:i/>
          <w:sz w:val="24"/>
        </w:rPr>
        <w:t xml:space="preserve">seesaw, </w:t>
      </w:r>
      <w:r w:rsidRPr="00382135">
        <w:rPr>
          <w:rFonts w:ascii="Times New Roman" w:hAnsi="Times New Roman" w:cs="Times New Roman"/>
          <w:sz w:val="24"/>
        </w:rPr>
        <w:t>pemahaman siswa</w:t>
      </w:r>
    </w:p>
    <w:p w:rsidR="00D04A04" w:rsidRDefault="00D04A04" w:rsidP="00D04A04">
      <w:pPr>
        <w:spacing w:line="480" w:lineRule="auto"/>
        <w:jc w:val="center"/>
        <w:rPr>
          <w:rFonts w:ascii="Times New Roman" w:hAnsi="Times New Roman" w:cs="Times New Roman"/>
          <w:b/>
          <w:i/>
          <w:sz w:val="24"/>
          <w:lang w:eastAsia="id-ID"/>
        </w:rPr>
      </w:pPr>
    </w:p>
    <w:p w:rsidR="00D04A04" w:rsidRDefault="00D04A04" w:rsidP="00D04A04">
      <w:pPr>
        <w:spacing w:line="480" w:lineRule="auto"/>
        <w:rPr>
          <w:rFonts w:ascii="Times New Roman" w:hAnsi="Times New Roman" w:cs="Times New Roman"/>
          <w:b/>
          <w:i/>
          <w:sz w:val="24"/>
          <w:lang w:eastAsia="id-ID"/>
        </w:rPr>
      </w:pPr>
    </w:p>
    <w:p w:rsidR="00D04A04" w:rsidRDefault="00D04A04" w:rsidP="00D04A04">
      <w:pPr>
        <w:spacing w:line="480" w:lineRule="auto"/>
        <w:jc w:val="center"/>
        <w:rPr>
          <w:rFonts w:ascii="Times New Roman" w:hAnsi="Times New Roman" w:cs="Times New Roman"/>
          <w:b/>
          <w:i/>
          <w:sz w:val="24"/>
          <w:lang w:eastAsia="id-ID"/>
        </w:rPr>
      </w:pPr>
    </w:p>
    <w:p w:rsidR="00D04A04" w:rsidRDefault="00D04A04" w:rsidP="00D04A04">
      <w:pPr>
        <w:spacing w:line="480" w:lineRule="auto"/>
        <w:jc w:val="center"/>
        <w:rPr>
          <w:rFonts w:ascii="Times New Roman" w:hAnsi="Times New Roman" w:cs="Times New Roman"/>
          <w:b/>
          <w:i/>
          <w:sz w:val="24"/>
          <w:lang w:eastAsia="id-ID"/>
        </w:rPr>
      </w:pPr>
    </w:p>
    <w:p w:rsidR="00D04A04" w:rsidRDefault="00D04A04" w:rsidP="00D04A04">
      <w:pPr>
        <w:spacing w:line="480" w:lineRule="auto"/>
        <w:jc w:val="center"/>
        <w:rPr>
          <w:rFonts w:ascii="Times New Roman" w:hAnsi="Times New Roman" w:cs="Times New Roman"/>
          <w:b/>
          <w:i/>
          <w:sz w:val="24"/>
          <w:lang w:eastAsia="id-ID"/>
        </w:rPr>
      </w:pPr>
    </w:p>
    <w:p w:rsidR="00D04A04" w:rsidRDefault="00D04A04" w:rsidP="00D04A04">
      <w:pPr>
        <w:spacing w:line="480" w:lineRule="auto"/>
        <w:jc w:val="center"/>
        <w:rPr>
          <w:rFonts w:ascii="Times New Roman" w:hAnsi="Times New Roman" w:cs="Times New Roman"/>
          <w:b/>
          <w:i/>
          <w:sz w:val="24"/>
          <w:lang w:eastAsia="id-ID"/>
        </w:rPr>
      </w:pPr>
    </w:p>
    <w:p w:rsidR="00D04A04" w:rsidRPr="006929FD" w:rsidRDefault="00D04A04" w:rsidP="00D04A04">
      <w:pPr>
        <w:spacing w:line="480" w:lineRule="auto"/>
        <w:jc w:val="center"/>
        <w:rPr>
          <w:rFonts w:ascii="Times New Roman" w:hAnsi="Times New Roman" w:cs="Times New Roman"/>
          <w:b/>
          <w:i/>
          <w:sz w:val="24"/>
          <w:lang w:val="en" w:eastAsia="id-ID"/>
        </w:rPr>
      </w:pPr>
      <w:r w:rsidRPr="006929FD">
        <w:rPr>
          <w:rFonts w:ascii="Times New Roman" w:hAnsi="Times New Roman" w:cs="Times New Roman"/>
          <w:b/>
          <w:i/>
          <w:sz w:val="24"/>
          <w:lang w:val="en" w:eastAsia="id-ID"/>
        </w:rPr>
        <w:t>ABSTRACT</w:t>
      </w:r>
    </w:p>
    <w:p w:rsidR="00D04A04" w:rsidRPr="006929FD" w:rsidRDefault="00D04A04" w:rsidP="00D04A04">
      <w:pPr>
        <w:jc w:val="center"/>
        <w:rPr>
          <w:rFonts w:ascii="Times New Roman" w:hAnsi="Times New Roman" w:cs="Times New Roman"/>
          <w:b/>
          <w:i/>
          <w:sz w:val="24"/>
        </w:rPr>
      </w:pPr>
      <w:r w:rsidRPr="006929FD">
        <w:rPr>
          <w:rFonts w:ascii="Times New Roman" w:hAnsi="Times New Roman" w:cs="Times New Roman"/>
          <w:b/>
          <w:i/>
          <w:sz w:val="24"/>
        </w:rPr>
        <w:t xml:space="preserve">THE EFFECTIVENESS OF SEESAW APPLICATION IN NETWORK INFRASTRUCTURE ADMINISTRATION (AIJ) SUBJECTS IN IMPROVING </w:t>
      </w:r>
      <w:r w:rsidRPr="006929FD">
        <w:rPr>
          <w:rFonts w:ascii="Times New Roman" w:hAnsi="Times New Roman" w:cs="Times New Roman"/>
          <w:b/>
          <w:i/>
          <w:sz w:val="24"/>
        </w:rPr>
        <w:lastRenderedPageBreak/>
        <w:t>UNDERSTANDING OF CLASS XI TKJ STUDENTS AT SMK MUHAMMADIYAH KADUNGORA</w:t>
      </w:r>
    </w:p>
    <w:p w:rsidR="00D04A04" w:rsidRPr="006929FD" w:rsidRDefault="00D04A04" w:rsidP="00D04A04">
      <w:pPr>
        <w:spacing w:line="480" w:lineRule="auto"/>
        <w:jc w:val="center"/>
        <w:rPr>
          <w:rFonts w:ascii="Times New Roman" w:hAnsi="Times New Roman" w:cs="Times New Roman"/>
          <w:b/>
          <w:i/>
          <w:sz w:val="24"/>
        </w:rPr>
      </w:pPr>
      <w:r w:rsidRPr="006929FD">
        <w:rPr>
          <w:rFonts w:ascii="Times New Roman" w:hAnsi="Times New Roman" w:cs="Times New Roman"/>
          <w:b/>
          <w:i/>
          <w:sz w:val="24"/>
        </w:rPr>
        <w:t>By: Aldi Fadilah</w:t>
      </w:r>
    </w:p>
    <w:p w:rsidR="00D04A04" w:rsidRDefault="00D04A04" w:rsidP="00D04A04">
      <w:pPr>
        <w:spacing w:line="240" w:lineRule="auto"/>
        <w:jc w:val="both"/>
        <w:rPr>
          <w:rFonts w:ascii="Times New Roman" w:hAnsi="Times New Roman" w:cs="Times New Roman"/>
          <w:i/>
          <w:sz w:val="24"/>
        </w:rPr>
      </w:pPr>
      <w:r w:rsidRPr="006929FD">
        <w:rPr>
          <w:rFonts w:ascii="Times New Roman" w:hAnsi="Times New Roman" w:cs="Times New Roman"/>
          <w:i/>
          <w:sz w:val="24"/>
        </w:rPr>
        <w:t xml:space="preserve">This study aims to determine the increase in student understanding between students who use seesaw and students who use e-books, to describe the process of implementing learning using seesaw in the subject of Network Infrastructure Administration (NIA) in improving students' understanding of class XI TKJ at SMK Muhammadiyah 1 Kadungora. The method and design in this study is an experimental method using a pretest and posttest design, with the research subjects 54 students of class XI TKJ SMK Muhammadiyah Kadungora, namely 27 students of the experimental class and 27 students of the control class. In this study, the experimental class was treated with seesaw learning, while the control class was treated with e-books. Research instruments include tests (pretest and posttest) and study documentation. The measurement of effectiveness was analyzed by comparing the N-gain formula. The difference in the average value of N-gain was analyzed through t-test at the significance level </w:t>
      </w:r>
      <w:r>
        <w:rPr>
          <w:rFonts w:ascii="Times New Roman" w:hAnsi="Times New Roman" w:cs="Times New Roman"/>
          <w:i/>
          <w:sz w:val="24"/>
        </w:rPr>
        <w:t>α</w:t>
      </w:r>
      <w:r w:rsidRPr="006929FD">
        <w:rPr>
          <w:rFonts w:ascii="Times New Roman" w:hAnsi="Times New Roman" w:cs="Times New Roman"/>
          <w:i/>
          <w:sz w:val="24"/>
        </w:rPr>
        <w:t xml:space="preserve"> = 0.05. Based on the results of the analysis and tests showed that students. From the results of the t-test, the data analysis class showed that the students' understanding of the experimental class was higher than that of the control class. Thus, it can be concluded that seesaw is more effective than e-book in improving students' understanding.</w:t>
      </w:r>
    </w:p>
    <w:p w:rsidR="00D04A04" w:rsidRPr="006929FD" w:rsidRDefault="00D04A04" w:rsidP="00D04A04">
      <w:pPr>
        <w:spacing w:line="240" w:lineRule="auto"/>
        <w:jc w:val="both"/>
        <w:rPr>
          <w:rFonts w:ascii="Times New Roman" w:hAnsi="Times New Roman" w:cs="Times New Roman"/>
          <w:i/>
          <w:sz w:val="24"/>
        </w:rPr>
      </w:pPr>
      <w:r w:rsidRPr="006929FD">
        <w:rPr>
          <w:rFonts w:ascii="Times New Roman" w:hAnsi="Times New Roman" w:cs="Times New Roman"/>
          <w:i/>
          <w:sz w:val="24"/>
        </w:rPr>
        <w:t>Keywords: seesaw, student understanding</w:t>
      </w:r>
    </w:p>
    <w:p w:rsidR="00DD6CFF" w:rsidRDefault="00DD6CFF">
      <w:bookmarkStart w:id="0" w:name="_GoBack"/>
      <w:bookmarkEnd w:id="0"/>
    </w:p>
    <w:sectPr w:rsidR="00DD6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A04"/>
    <w:rsid w:val="00D04A04"/>
    <w:rsid w:val="00DD6C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4A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4A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2022-12-17T02:04:00Z</dcterms:created>
  <dcterms:modified xsi:type="dcterms:W3CDTF">2022-12-17T02:04:00Z</dcterms:modified>
</cp:coreProperties>
</file>