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89C1" w14:textId="77777777" w:rsidR="00D466D6" w:rsidRPr="002A3284" w:rsidRDefault="00D466D6" w:rsidP="00D466D6">
      <w:pPr>
        <w:spacing w:line="480" w:lineRule="auto"/>
        <w:jc w:val="center"/>
        <w:rPr>
          <w:b/>
          <w:color w:val="000000"/>
        </w:rPr>
      </w:pPr>
      <w:r w:rsidRPr="002A3284">
        <w:rPr>
          <w:b/>
          <w:color w:val="000000"/>
        </w:rPr>
        <w:t>CHAPTER V</w:t>
      </w:r>
    </w:p>
    <w:p w14:paraId="39BF7C7E" w14:textId="77777777" w:rsidR="00D466D6" w:rsidRPr="002A3284" w:rsidRDefault="00D466D6" w:rsidP="00D466D6">
      <w:pPr>
        <w:spacing w:line="480" w:lineRule="auto"/>
        <w:jc w:val="center"/>
        <w:rPr>
          <w:b/>
          <w:color w:val="000000"/>
        </w:rPr>
      </w:pPr>
      <w:r w:rsidRPr="002A3284">
        <w:rPr>
          <w:b/>
          <w:color w:val="000000"/>
        </w:rPr>
        <w:t>CONCLUSION AND SUGGESTION</w:t>
      </w:r>
    </w:p>
    <w:p w14:paraId="0217BD47" w14:textId="77777777" w:rsidR="00D466D6" w:rsidRPr="002A3284" w:rsidRDefault="00D466D6" w:rsidP="00D466D6">
      <w:pPr>
        <w:spacing w:line="480" w:lineRule="auto"/>
        <w:jc w:val="both"/>
        <w:rPr>
          <w:color w:val="000000"/>
        </w:rPr>
      </w:pPr>
    </w:p>
    <w:p w14:paraId="63C4F58D" w14:textId="77777777" w:rsidR="00D466D6" w:rsidRPr="002A3284" w:rsidRDefault="00D466D6" w:rsidP="00D466D6">
      <w:pPr>
        <w:widowControl w:val="0"/>
        <w:autoSpaceDE w:val="0"/>
        <w:autoSpaceDN w:val="0"/>
        <w:adjustRightInd w:val="0"/>
        <w:spacing w:line="480" w:lineRule="auto"/>
        <w:ind w:right="80" w:firstLine="720"/>
        <w:jc w:val="both"/>
        <w:rPr>
          <w:color w:val="000000"/>
        </w:rPr>
      </w:pPr>
      <w:r w:rsidRPr="002A3284">
        <w:rPr>
          <w:color w:val="000000"/>
        </w:rPr>
        <w:t>In this c</w:t>
      </w:r>
      <w:r w:rsidRPr="002A3284">
        <w:rPr>
          <w:color w:val="000000"/>
          <w:spacing w:val="1"/>
        </w:rPr>
        <w:t>h</w:t>
      </w:r>
      <w:r w:rsidRPr="002A3284">
        <w:rPr>
          <w:color w:val="000000"/>
        </w:rPr>
        <w:t>a</w:t>
      </w:r>
      <w:r w:rsidRPr="002A3284">
        <w:rPr>
          <w:color w:val="000000"/>
          <w:spacing w:val="1"/>
        </w:rPr>
        <w:t>p</w:t>
      </w:r>
      <w:r w:rsidRPr="002A3284">
        <w:rPr>
          <w:color w:val="000000"/>
        </w:rPr>
        <w:t>ter, t</w:t>
      </w:r>
      <w:r w:rsidRPr="002A3284">
        <w:rPr>
          <w:color w:val="000000"/>
          <w:spacing w:val="1"/>
        </w:rPr>
        <w:t>h</w:t>
      </w:r>
      <w:r w:rsidRPr="002A3284">
        <w:rPr>
          <w:color w:val="000000"/>
        </w:rPr>
        <w:t xml:space="preserve">e </w:t>
      </w:r>
      <w:r w:rsidRPr="002A3284">
        <w:rPr>
          <w:color w:val="000000"/>
          <w:spacing w:val="1"/>
        </w:rPr>
        <w:t>w</w:t>
      </w:r>
      <w:r w:rsidRPr="002A3284">
        <w:rPr>
          <w:color w:val="000000"/>
        </w:rPr>
        <w:t xml:space="preserve">riter </w:t>
      </w:r>
      <w:r w:rsidRPr="002A3284">
        <w:rPr>
          <w:color w:val="000000"/>
          <w:spacing w:val="1"/>
        </w:rPr>
        <w:t>w</w:t>
      </w:r>
      <w:r w:rsidRPr="002A3284">
        <w:rPr>
          <w:color w:val="000000"/>
        </w:rPr>
        <w:t>ill draws</w:t>
      </w:r>
      <w:r w:rsidRPr="002A3284">
        <w:rPr>
          <w:color w:val="000000"/>
          <w:spacing w:val="2"/>
        </w:rPr>
        <w:t>o</w:t>
      </w:r>
      <w:r w:rsidRPr="002A3284">
        <w:rPr>
          <w:color w:val="000000"/>
          <w:spacing w:val="-3"/>
        </w:rPr>
        <w:t>m</w:t>
      </w:r>
      <w:r w:rsidRPr="002A3284">
        <w:rPr>
          <w:color w:val="000000"/>
        </w:rPr>
        <w:t>eco</w:t>
      </w:r>
      <w:r w:rsidRPr="002A3284">
        <w:rPr>
          <w:color w:val="000000"/>
          <w:spacing w:val="1"/>
        </w:rPr>
        <w:t>n</w:t>
      </w:r>
      <w:r w:rsidRPr="002A3284">
        <w:rPr>
          <w:color w:val="000000"/>
          <w:spacing w:val="-1"/>
        </w:rPr>
        <w:t>c</w:t>
      </w:r>
      <w:r w:rsidRPr="002A3284">
        <w:rPr>
          <w:color w:val="000000"/>
        </w:rPr>
        <w:t>lu</w:t>
      </w:r>
      <w:r w:rsidRPr="002A3284">
        <w:rPr>
          <w:color w:val="000000"/>
          <w:spacing w:val="1"/>
        </w:rPr>
        <w:t>s</w:t>
      </w:r>
      <w:r w:rsidRPr="002A3284">
        <w:rPr>
          <w:color w:val="000000"/>
          <w:spacing w:val="-1"/>
        </w:rPr>
        <w:t>i</w:t>
      </w:r>
      <w:r w:rsidRPr="002A3284">
        <w:rPr>
          <w:color w:val="000000"/>
        </w:rPr>
        <w:t>ons abo</w:t>
      </w:r>
      <w:r w:rsidRPr="002A3284">
        <w:rPr>
          <w:color w:val="000000"/>
          <w:spacing w:val="1"/>
        </w:rPr>
        <w:t>u</w:t>
      </w:r>
      <w:r w:rsidRPr="002A3284">
        <w:rPr>
          <w:color w:val="000000"/>
        </w:rPr>
        <w:t>t the re</w:t>
      </w:r>
      <w:r w:rsidRPr="002A3284">
        <w:rPr>
          <w:color w:val="000000"/>
          <w:spacing w:val="1"/>
        </w:rPr>
        <w:t>s</w:t>
      </w:r>
      <w:r w:rsidRPr="002A3284">
        <w:rPr>
          <w:color w:val="000000"/>
        </w:rPr>
        <w:t xml:space="preserve">earch that </w:t>
      </w:r>
      <w:r w:rsidRPr="002A3284">
        <w:rPr>
          <w:color w:val="000000"/>
          <w:spacing w:val="1"/>
        </w:rPr>
        <w:t>h</w:t>
      </w:r>
      <w:r w:rsidRPr="002A3284">
        <w:rPr>
          <w:color w:val="000000"/>
          <w:spacing w:val="-1"/>
        </w:rPr>
        <w:t>a</w:t>
      </w:r>
      <w:r w:rsidRPr="002A3284">
        <w:rPr>
          <w:color w:val="000000"/>
        </w:rPr>
        <w:t xml:space="preserve">s </w:t>
      </w:r>
      <w:r w:rsidRPr="002A3284">
        <w:rPr>
          <w:color w:val="000000"/>
          <w:spacing w:val="1"/>
        </w:rPr>
        <w:t>b</w:t>
      </w:r>
      <w:r w:rsidRPr="002A3284">
        <w:rPr>
          <w:color w:val="000000"/>
          <w:spacing w:val="-1"/>
        </w:rPr>
        <w:t>e</w:t>
      </w:r>
      <w:r w:rsidRPr="002A3284">
        <w:rPr>
          <w:color w:val="000000"/>
        </w:rPr>
        <w:t>en reported on the p</w:t>
      </w:r>
      <w:r w:rsidRPr="002A3284">
        <w:rPr>
          <w:color w:val="000000"/>
          <w:spacing w:val="2"/>
        </w:rPr>
        <w:t>r</w:t>
      </w:r>
      <w:r w:rsidRPr="002A3284">
        <w:rPr>
          <w:color w:val="000000"/>
        </w:rPr>
        <w:t>eviouschapt</w:t>
      </w:r>
      <w:r w:rsidRPr="002A3284">
        <w:rPr>
          <w:color w:val="000000"/>
          <w:spacing w:val="-2"/>
        </w:rPr>
        <w:t>e</w:t>
      </w:r>
      <w:r w:rsidRPr="002A3284">
        <w:rPr>
          <w:color w:val="000000"/>
        </w:rPr>
        <w:t>rs and she also would giveso</w:t>
      </w:r>
      <w:r w:rsidRPr="002A3284">
        <w:rPr>
          <w:color w:val="000000"/>
          <w:spacing w:val="-3"/>
        </w:rPr>
        <w:t>m</w:t>
      </w:r>
      <w:r w:rsidRPr="002A3284">
        <w:rPr>
          <w:color w:val="000000"/>
        </w:rPr>
        <w:t xml:space="preserve">e suggestions </w:t>
      </w:r>
      <w:r w:rsidRPr="002A3284">
        <w:rPr>
          <w:color w:val="000000"/>
          <w:spacing w:val="20"/>
        </w:rPr>
        <w:t>as</w:t>
      </w:r>
      <w:r w:rsidRPr="002A3284">
        <w:rPr>
          <w:color w:val="000000"/>
        </w:rPr>
        <w:t xml:space="preserve"> t</w:t>
      </w:r>
      <w:r w:rsidRPr="002A3284">
        <w:rPr>
          <w:color w:val="000000"/>
          <w:spacing w:val="2"/>
        </w:rPr>
        <w:t>h</w:t>
      </w:r>
      <w:r w:rsidRPr="002A3284">
        <w:rPr>
          <w:color w:val="000000"/>
        </w:rPr>
        <w:t>e contribution to theteaching</w:t>
      </w:r>
      <w:r w:rsidRPr="002A3284">
        <w:rPr>
          <w:color w:val="000000"/>
          <w:spacing w:val="2"/>
        </w:rPr>
        <w:t>-</w:t>
      </w:r>
      <w:r w:rsidRPr="002A3284">
        <w:rPr>
          <w:color w:val="000000"/>
        </w:rPr>
        <w:t>learning process.</w:t>
      </w:r>
    </w:p>
    <w:p w14:paraId="160D1B3D" w14:textId="77777777" w:rsidR="00D466D6" w:rsidRPr="002A3284" w:rsidRDefault="00D466D6" w:rsidP="00D466D6">
      <w:pPr>
        <w:widowControl w:val="0"/>
        <w:autoSpaceDE w:val="0"/>
        <w:autoSpaceDN w:val="0"/>
        <w:adjustRightInd w:val="0"/>
        <w:spacing w:line="480" w:lineRule="auto"/>
        <w:ind w:right="80" w:firstLine="720"/>
        <w:jc w:val="both"/>
        <w:rPr>
          <w:color w:val="000000"/>
        </w:rPr>
      </w:pPr>
    </w:p>
    <w:p w14:paraId="0FDAA4B1" w14:textId="77777777" w:rsidR="00D466D6" w:rsidRPr="002A3284" w:rsidRDefault="00D466D6" w:rsidP="00D466D6">
      <w:pPr>
        <w:widowControl w:val="0"/>
        <w:autoSpaceDE w:val="0"/>
        <w:autoSpaceDN w:val="0"/>
        <w:adjustRightInd w:val="0"/>
        <w:spacing w:line="480" w:lineRule="auto"/>
        <w:ind w:right="80"/>
        <w:jc w:val="both"/>
        <w:rPr>
          <w:b/>
          <w:color w:val="000000"/>
        </w:rPr>
      </w:pPr>
      <w:r w:rsidRPr="002A3284">
        <w:rPr>
          <w:b/>
          <w:color w:val="000000"/>
        </w:rPr>
        <w:t>5.1 Conclusion</w:t>
      </w:r>
    </w:p>
    <w:p w14:paraId="51ECD040" w14:textId="77777777" w:rsidR="00D466D6" w:rsidRPr="002A3284" w:rsidRDefault="00D466D6" w:rsidP="00D466D6">
      <w:pPr>
        <w:widowControl w:val="0"/>
        <w:autoSpaceDE w:val="0"/>
        <w:autoSpaceDN w:val="0"/>
        <w:adjustRightInd w:val="0"/>
        <w:spacing w:line="480" w:lineRule="auto"/>
        <w:ind w:right="80"/>
        <w:jc w:val="both"/>
        <w:rPr>
          <w:color w:val="000000"/>
        </w:rPr>
      </w:pPr>
      <w:r w:rsidRPr="002A3284">
        <w:rPr>
          <w:color w:val="000000"/>
        </w:rPr>
        <w:t>The conclusionsare as follows:</w:t>
      </w:r>
    </w:p>
    <w:p w14:paraId="04FDF8B3" w14:textId="77777777" w:rsidR="00D466D6" w:rsidRPr="002A3284" w:rsidRDefault="00D466D6" w:rsidP="00D466D6">
      <w:pPr>
        <w:widowControl w:val="0"/>
        <w:autoSpaceDE w:val="0"/>
        <w:autoSpaceDN w:val="0"/>
        <w:adjustRightInd w:val="0"/>
        <w:spacing w:line="480" w:lineRule="auto"/>
        <w:ind w:left="284" w:right="80" w:hanging="284"/>
        <w:jc w:val="both"/>
        <w:rPr>
          <w:color w:val="000000"/>
        </w:rPr>
      </w:pPr>
      <w:r w:rsidRPr="002A3284">
        <w:rPr>
          <w:color w:val="000000"/>
        </w:rPr>
        <w:t>1. The use of songs in the classroom of teaching and learning activity has been very helpful in terms of improving the students’ pronunciation of English words. This teaching strategy can offer the solution to the difficulty in the implementation of pronouncing English words.</w:t>
      </w:r>
    </w:p>
    <w:p w14:paraId="1E3AAF84" w14:textId="77777777" w:rsidR="00D466D6" w:rsidRPr="002A3284" w:rsidRDefault="00D466D6" w:rsidP="00D466D6">
      <w:pPr>
        <w:widowControl w:val="0"/>
        <w:autoSpaceDE w:val="0"/>
        <w:autoSpaceDN w:val="0"/>
        <w:adjustRightInd w:val="0"/>
        <w:spacing w:line="480" w:lineRule="auto"/>
        <w:ind w:left="284" w:right="80" w:hanging="284"/>
        <w:jc w:val="both"/>
        <w:rPr>
          <w:color w:val="000000"/>
        </w:rPr>
      </w:pPr>
      <w:r w:rsidRPr="002A3284">
        <w:rPr>
          <w:color w:val="000000"/>
        </w:rPr>
        <w:t xml:space="preserve">2. From the result of the hypothesis tested, the t </w:t>
      </w:r>
      <w:r w:rsidRPr="002A3284">
        <w:rPr>
          <w:color w:val="000000"/>
          <w:vertAlign w:val="subscript"/>
        </w:rPr>
        <w:t>observed</w:t>
      </w:r>
      <w:r w:rsidRPr="002A3284">
        <w:rPr>
          <w:color w:val="000000"/>
        </w:rPr>
        <w:t xml:space="preserve"> is 4.50 and t </w:t>
      </w:r>
      <w:r w:rsidRPr="002A3284">
        <w:rPr>
          <w:color w:val="000000"/>
          <w:vertAlign w:val="subscript"/>
        </w:rPr>
        <w:t>critical</w:t>
      </w:r>
      <w:r w:rsidRPr="002A3284">
        <w:rPr>
          <w:color w:val="000000"/>
        </w:rPr>
        <w:t xml:space="preserve"> is 2.00. Hypothesis can be accepted if t </w:t>
      </w:r>
      <w:r w:rsidRPr="002A3284">
        <w:rPr>
          <w:color w:val="000000"/>
          <w:vertAlign w:val="subscript"/>
        </w:rPr>
        <w:t>observed</w:t>
      </w:r>
      <w:r w:rsidRPr="002A3284">
        <w:rPr>
          <w:color w:val="000000"/>
        </w:rPr>
        <w:t xml:space="preserve"> is bigger than t </w:t>
      </w:r>
      <w:r w:rsidRPr="002A3284">
        <w:rPr>
          <w:color w:val="000000"/>
          <w:vertAlign w:val="subscript"/>
        </w:rPr>
        <w:t xml:space="preserve">critical. </w:t>
      </w:r>
      <w:r w:rsidRPr="002A3284">
        <w:rPr>
          <w:color w:val="000000"/>
        </w:rPr>
        <w:t xml:space="preserve">From the statement above, it is clear that the result of the test is significance and the hypothesis is accepted. It means that the students’ score of Experimental group and that of the Control group in students’ pronunciation of English words is different.   </w:t>
      </w:r>
    </w:p>
    <w:p w14:paraId="4C6C0F2D" w14:textId="77777777" w:rsidR="00D466D6" w:rsidRPr="002A3284" w:rsidRDefault="00D466D6" w:rsidP="00D466D6">
      <w:pPr>
        <w:widowControl w:val="0"/>
        <w:autoSpaceDE w:val="0"/>
        <w:autoSpaceDN w:val="0"/>
        <w:adjustRightInd w:val="0"/>
        <w:spacing w:line="480" w:lineRule="auto"/>
        <w:ind w:left="284" w:right="80" w:hanging="284"/>
        <w:jc w:val="both"/>
        <w:rPr>
          <w:color w:val="000000"/>
        </w:rPr>
      </w:pPr>
    </w:p>
    <w:p w14:paraId="688F2256" w14:textId="77777777" w:rsidR="00D466D6" w:rsidRPr="002A3284" w:rsidRDefault="00D466D6" w:rsidP="00D466D6">
      <w:pPr>
        <w:widowControl w:val="0"/>
        <w:autoSpaceDE w:val="0"/>
        <w:autoSpaceDN w:val="0"/>
        <w:adjustRightInd w:val="0"/>
        <w:spacing w:line="480" w:lineRule="auto"/>
        <w:ind w:right="80"/>
        <w:jc w:val="both"/>
        <w:rPr>
          <w:b/>
          <w:color w:val="000000"/>
        </w:rPr>
      </w:pPr>
      <w:r w:rsidRPr="002A3284">
        <w:rPr>
          <w:b/>
          <w:color w:val="000000"/>
        </w:rPr>
        <w:t>5.2 Suggestions</w:t>
      </w:r>
    </w:p>
    <w:p w14:paraId="56253A26" w14:textId="77777777" w:rsidR="00D466D6" w:rsidRPr="002A3284" w:rsidRDefault="00D466D6" w:rsidP="00D466D6">
      <w:pPr>
        <w:widowControl w:val="0"/>
        <w:autoSpaceDE w:val="0"/>
        <w:autoSpaceDN w:val="0"/>
        <w:adjustRightInd w:val="0"/>
        <w:spacing w:line="480" w:lineRule="auto"/>
        <w:ind w:right="80"/>
        <w:jc w:val="both"/>
        <w:rPr>
          <w:color w:val="000000"/>
        </w:rPr>
      </w:pPr>
      <w:r w:rsidRPr="002A3284">
        <w:rPr>
          <w:b/>
          <w:color w:val="000000"/>
        </w:rPr>
        <w:tab/>
      </w:r>
      <w:r w:rsidRPr="002A3284">
        <w:rPr>
          <w:color w:val="000000"/>
        </w:rPr>
        <w:t>There are some suggestions that can be given in relation to the writers’ conclusion. The suggestions are as follows:</w:t>
      </w:r>
    </w:p>
    <w:p w14:paraId="6D3495C6" w14:textId="77777777" w:rsidR="00D466D6" w:rsidRPr="002A3284" w:rsidRDefault="00D466D6" w:rsidP="00D466D6">
      <w:pPr>
        <w:pStyle w:val="ListParagraph"/>
        <w:widowControl w:val="0"/>
        <w:numPr>
          <w:ilvl w:val="0"/>
          <w:numId w:val="1"/>
        </w:numPr>
        <w:autoSpaceDE w:val="0"/>
        <w:autoSpaceDN w:val="0"/>
        <w:adjustRightInd w:val="0"/>
        <w:spacing w:line="480" w:lineRule="auto"/>
        <w:ind w:left="284" w:right="80" w:hanging="284"/>
        <w:jc w:val="both"/>
        <w:rPr>
          <w:color w:val="000000"/>
        </w:rPr>
      </w:pPr>
      <w:r w:rsidRPr="002A3284">
        <w:rPr>
          <w:color w:val="000000"/>
        </w:rPr>
        <w:t xml:space="preserve">It is better for the English teachers to use songs in their teaching-learning </w:t>
      </w:r>
      <w:r w:rsidRPr="002A3284">
        <w:rPr>
          <w:color w:val="000000"/>
        </w:rPr>
        <w:lastRenderedPageBreak/>
        <w:t>process since songs have a very big benefit to the students. Songs can be implemented when the teacher wants to teach vocabulary, grammar, pronunciation, or kind of text. It is known that almost all the students like songs, so it can be used as one of the ways to get the students’ participation in the teaching-learning process.</w:t>
      </w:r>
    </w:p>
    <w:p w14:paraId="1562C232" w14:textId="77777777" w:rsidR="00D466D6" w:rsidRPr="002A3284" w:rsidRDefault="00D466D6" w:rsidP="00D466D6">
      <w:pPr>
        <w:pStyle w:val="ListParagraph"/>
        <w:widowControl w:val="0"/>
        <w:numPr>
          <w:ilvl w:val="0"/>
          <w:numId w:val="1"/>
        </w:numPr>
        <w:autoSpaceDE w:val="0"/>
        <w:autoSpaceDN w:val="0"/>
        <w:adjustRightInd w:val="0"/>
        <w:spacing w:line="480" w:lineRule="auto"/>
        <w:ind w:left="284" w:right="80" w:hanging="284"/>
        <w:jc w:val="both"/>
        <w:rPr>
          <w:color w:val="000000"/>
        </w:rPr>
      </w:pPr>
      <w:r w:rsidRPr="002A3284">
        <w:rPr>
          <w:color w:val="000000"/>
        </w:rPr>
        <w:t>The English teacher ought to give student the opportunities to be active in pronouncing English words.</w:t>
      </w:r>
    </w:p>
    <w:p w14:paraId="08C0B5FC" w14:textId="77777777" w:rsidR="00D466D6" w:rsidRPr="002A3284" w:rsidRDefault="00D466D6" w:rsidP="00D466D6">
      <w:pPr>
        <w:pStyle w:val="ListParagraph"/>
        <w:widowControl w:val="0"/>
        <w:numPr>
          <w:ilvl w:val="0"/>
          <w:numId w:val="1"/>
        </w:numPr>
        <w:autoSpaceDE w:val="0"/>
        <w:autoSpaceDN w:val="0"/>
        <w:adjustRightInd w:val="0"/>
        <w:spacing w:line="480" w:lineRule="auto"/>
        <w:ind w:left="284" w:right="80" w:hanging="284"/>
        <w:jc w:val="both"/>
        <w:rPr>
          <w:color w:val="000000"/>
        </w:rPr>
      </w:pPr>
      <w:r w:rsidRPr="002A3284">
        <w:rPr>
          <w:color w:val="000000"/>
        </w:rPr>
        <w:t>The English teacher should be creative in teaching - learning process and not make the students bored.</w:t>
      </w:r>
    </w:p>
    <w:p w14:paraId="64123267" w14:textId="77777777" w:rsidR="00D466D6" w:rsidRPr="002A3284" w:rsidRDefault="00D466D6" w:rsidP="00D466D6">
      <w:pPr>
        <w:pStyle w:val="ListParagraph"/>
        <w:widowControl w:val="0"/>
        <w:numPr>
          <w:ilvl w:val="0"/>
          <w:numId w:val="1"/>
        </w:numPr>
        <w:autoSpaceDE w:val="0"/>
        <w:autoSpaceDN w:val="0"/>
        <w:adjustRightInd w:val="0"/>
        <w:spacing w:line="480" w:lineRule="auto"/>
        <w:ind w:left="284" w:right="80" w:hanging="284"/>
        <w:jc w:val="both"/>
        <w:rPr>
          <w:color w:val="000000"/>
        </w:rPr>
      </w:pPr>
      <w:r w:rsidRPr="002A3284">
        <w:rPr>
          <w:color w:val="000000"/>
        </w:rPr>
        <w:t>In using songs, the English teacher has to consider factors that make the songs well suited to be given in classroom.</w:t>
      </w:r>
    </w:p>
    <w:p w14:paraId="2924798D"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7757F1C8"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03E38484"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4A5F5CFF"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477F8072"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016F7F24"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2D6D46DF"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544494BB"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660AA65B"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419CE01A"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3A4E26A1" w14:textId="77777777" w:rsidR="00D466D6" w:rsidRPr="002A3284" w:rsidRDefault="00D466D6" w:rsidP="00D466D6">
      <w:pPr>
        <w:pStyle w:val="ListParagraph"/>
        <w:widowControl w:val="0"/>
        <w:autoSpaceDE w:val="0"/>
        <w:autoSpaceDN w:val="0"/>
        <w:adjustRightInd w:val="0"/>
        <w:spacing w:line="480" w:lineRule="auto"/>
        <w:ind w:left="284" w:right="80"/>
        <w:jc w:val="both"/>
        <w:rPr>
          <w:color w:val="000000"/>
        </w:rPr>
      </w:pPr>
    </w:p>
    <w:p w14:paraId="632CB884" w14:textId="77777777" w:rsidR="00D466D6" w:rsidRPr="002A3284" w:rsidRDefault="00D466D6" w:rsidP="00D466D6">
      <w:pPr>
        <w:widowControl w:val="0"/>
        <w:autoSpaceDE w:val="0"/>
        <w:autoSpaceDN w:val="0"/>
        <w:adjustRightInd w:val="0"/>
        <w:spacing w:line="480" w:lineRule="auto"/>
        <w:ind w:right="80"/>
        <w:jc w:val="both"/>
        <w:rPr>
          <w:color w:val="000000"/>
        </w:rPr>
      </w:pPr>
    </w:p>
    <w:p w14:paraId="45AF8B7A" w14:textId="77777777" w:rsidR="00D466D6" w:rsidRPr="00A9512D" w:rsidRDefault="00D466D6" w:rsidP="00D466D6">
      <w:pPr>
        <w:autoSpaceDE w:val="0"/>
        <w:autoSpaceDN w:val="0"/>
        <w:adjustRightInd w:val="0"/>
        <w:jc w:val="center"/>
        <w:rPr>
          <w:rFonts w:eastAsia="Calibri"/>
          <w:b/>
          <w:bCs/>
        </w:rPr>
      </w:pPr>
      <w:r w:rsidRPr="00A9512D">
        <w:rPr>
          <w:rFonts w:eastAsia="Calibri"/>
          <w:b/>
          <w:bCs/>
        </w:rPr>
        <w:lastRenderedPageBreak/>
        <w:t>BIBLIOGRAPHY</w:t>
      </w:r>
    </w:p>
    <w:p w14:paraId="7A8693E5" w14:textId="77777777" w:rsidR="00D466D6" w:rsidRPr="00A9512D" w:rsidRDefault="00D466D6" w:rsidP="00D466D6">
      <w:pPr>
        <w:autoSpaceDE w:val="0"/>
        <w:autoSpaceDN w:val="0"/>
        <w:adjustRightInd w:val="0"/>
        <w:jc w:val="both"/>
        <w:rPr>
          <w:rFonts w:eastAsia="Calibri"/>
          <w:b/>
          <w:bCs/>
          <w:sz w:val="23"/>
          <w:szCs w:val="23"/>
        </w:rPr>
      </w:pPr>
    </w:p>
    <w:p w14:paraId="17E4AA76" w14:textId="77777777" w:rsidR="00D466D6" w:rsidRPr="00A9512D" w:rsidRDefault="00D466D6" w:rsidP="00D466D6">
      <w:pPr>
        <w:autoSpaceDE w:val="0"/>
        <w:autoSpaceDN w:val="0"/>
        <w:adjustRightInd w:val="0"/>
        <w:jc w:val="both"/>
        <w:rPr>
          <w:rFonts w:eastAsia="Calibri"/>
          <w:b/>
          <w:bCs/>
          <w:sz w:val="23"/>
          <w:szCs w:val="23"/>
        </w:rPr>
      </w:pPr>
    </w:p>
    <w:p w14:paraId="3A6C247E" w14:textId="77777777" w:rsidR="00D466D6" w:rsidRPr="00A9512D" w:rsidRDefault="00D466D6" w:rsidP="00D466D6">
      <w:pPr>
        <w:autoSpaceDE w:val="0"/>
        <w:autoSpaceDN w:val="0"/>
        <w:adjustRightInd w:val="0"/>
        <w:ind w:left="851" w:hanging="851"/>
        <w:jc w:val="both"/>
        <w:rPr>
          <w:rFonts w:eastAsia="Calibri"/>
          <w:bCs/>
          <w:sz w:val="23"/>
          <w:szCs w:val="23"/>
        </w:rPr>
      </w:pPr>
      <w:r w:rsidRPr="00A9512D">
        <w:rPr>
          <w:rFonts w:eastAsia="Calibri"/>
          <w:bCs/>
          <w:sz w:val="23"/>
          <w:szCs w:val="23"/>
        </w:rPr>
        <w:t xml:space="preserve">Alawiyah, R. (2009). </w:t>
      </w:r>
      <w:r w:rsidRPr="00A9512D">
        <w:rPr>
          <w:rFonts w:eastAsia="Calibri"/>
          <w:bCs/>
          <w:i/>
          <w:sz w:val="23"/>
          <w:szCs w:val="23"/>
        </w:rPr>
        <w:t>The Use of Songs on Teaching English Vocabulary to Young Learner,</w:t>
      </w:r>
      <w:r w:rsidRPr="00A9512D">
        <w:rPr>
          <w:rFonts w:eastAsia="Calibri"/>
          <w:bCs/>
          <w:sz w:val="23"/>
          <w:szCs w:val="23"/>
        </w:rPr>
        <w:t xml:space="preserve"> UIN – Jakarta : Paper – Unpublished.</w:t>
      </w:r>
    </w:p>
    <w:p w14:paraId="61C0D561" w14:textId="77777777" w:rsidR="00D466D6" w:rsidRPr="00A9512D" w:rsidRDefault="00D466D6" w:rsidP="00D466D6">
      <w:pPr>
        <w:autoSpaceDE w:val="0"/>
        <w:autoSpaceDN w:val="0"/>
        <w:adjustRightInd w:val="0"/>
        <w:ind w:left="851" w:hanging="851"/>
        <w:jc w:val="both"/>
        <w:rPr>
          <w:rFonts w:eastAsia="Calibri"/>
          <w:bCs/>
          <w:sz w:val="23"/>
          <w:szCs w:val="23"/>
        </w:rPr>
      </w:pPr>
    </w:p>
    <w:p w14:paraId="3DC6E1C0" w14:textId="77777777" w:rsidR="00D466D6" w:rsidRPr="00A9512D" w:rsidRDefault="00D466D6" w:rsidP="00D466D6">
      <w:pPr>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Anonymous, </w:t>
      </w:r>
      <w:hyperlink r:id="rId5" w:history="1">
        <w:r w:rsidRPr="00A9512D">
          <w:rPr>
            <w:rFonts w:ascii="TimesNewRomanPSMT" w:eastAsia="Calibri" w:hAnsi="TimesNewRomanPSMT" w:cs="TimesNewRomanPSMT"/>
            <w:sz w:val="23"/>
            <w:szCs w:val="23"/>
            <w:u w:val="single"/>
          </w:rPr>
          <w:t>http://www.answer.com/topic/song</w:t>
        </w:r>
      </w:hyperlink>
    </w:p>
    <w:p w14:paraId="11CF51BA" w14:textId="77777777" w:rsidR="00D466D6" w:rsidRPr="00A9512D" w:rsidRDefault="00D466D6" w:rsidP="00D466D6">
      <w:pPr>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Anonymous, </w:t>
      </w:r>
      <w:hyperlink r:id="rId6" w:history="1">
        <w:r w:rsidRPr="00A9512D">
          <w:rPr>
            <w:rFonts w:ascii="TimesNewRomanPSMT" w:eastAsia="Calibri" w:hAnsi="TimesNewRomanPSMT" w:cs="TimesNewRomanPSMT"/>
            <w:sz w:val="23"/>
            <w:szCs w:val="23"/>
            <w:u w:val="single"/>
          </w:rPr>
          <w:t>http://www.wikipedia.org/wiki/song</w:t>
        </w:r>
      </w:hyperlink>
    </w:p>
    <w:p w14:paraId="597F1147" w14:textId="77777777" w:rsidR="00D466D6" w:rsidRPr="00A9512D" w:rsidRDefault="00D466D6" w:rsidP="00D466D6">
      <w:pPr>
        <w:autoSpaceDE w:val="0"/>
        <w:autoSpaceDN w:val="0"/>
        <w:adjustRightInd w:val="0"/>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Arikunto, S. 1993. </w:t>
      </w:r>
      <w:r w:rsidRPr="00A9512D">
        <w:rPr>
          <w:rFonts w:eastAsia="Calibri"/>
          <w:b/>
          <w:i/>
          <w:iCs/>
          <w:sz w:val="23"/>
          <w:szCs w:val="23"/>
        </w:rPr>
        <w:t>Prosedur Penelitian</w:t>
      </w:r>
      <w:r w:rsidRPr="00A9512D">
        <w:rPr>
          <w:rFonts w:ascii="TimesNewRomanPSMT" w:eastAsia="Calibri" w:hAnsi="TimesNewRomanPSMT" w:cs="TimesNewRomanPSMT"/>
          <w:sz w:val="23"/>
          <w:szCs w:val="23"/>
        </w:rPr>
        <w:t xml:space="preserve">. </w:t>
      </w:r>
      <w:smartTag w:uri="urn:schemas-microsoft-com:office:smarttags" w:element="place">
        <w:r w:rsidRPr="00A9512D">
          <w:rPr>
            <w:rFonts w:ascii="TimesNewRomanPSMT" w:eastAsia="Calibri" w:hAnsi="TimesNewRomanPSMT" w:cs="TimesNewRomanPSMT"/>
            <w:sz w:val="23"/>
            <w:szCs w:val="23"/>
          </w:rPr>
          <w:t>Yogyakarta</w:t>
        </w:r>
      </w:smartTag>
      <w:r w:rsidRPr="00A9512D">
        <w:rPr>
          <w:rFonts w:ascii="TimesNewRomanPSMT" w:eastAsia="Calibri" w:hAnsi="TimesNewRomanPSMT" w:cs="TimesNewRomanPSMT"/>
          <w:sz w:val="23"/>
          <w:szCs w:val="23"/>
        </w:rPr>
        <w:t>: PT Rineka Cipta.</w:t>
      </w:r>
    </w:p>
    <w:p w14:paraId="7AC6C048"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Arikunto, S. 2010. </w:t>
      </w:r>
      <w:r w:rsidRPr="00A9512D">
        <w:rPr>
          <w:rFonts w:ascii="TimesNewRomanPSMT" w:eastAsia="Calibri" w:hAnsi="TimesNewRomanPSMT" w:cs="TimesNewRomanPSMT"/>
          <w:i/>
          <w:sz w:val="23"/>
          <w:szCs w:val="23"/>
        </w:rPr>
        <w:t>Prosedur Penelitian</w:t>
      </w:r>
      <w:r w:rsidRPr="00A9512D">
        <w:rPr>
          <w:rFonts w:ascii="TimesNewRomanPSMT" w:eastAsia="Calibri" w:hAnsi="TimesNewRomanPSMT" w:cs="TimesNewRomanPSMT"/>
          <w:sz w:val="23"/>
          <w:szCs w:val="23"/>
        </w:rPr>
        <w:t>. Yogyakarta: PT Rineka Cipta.</w:t>
      </w:r>
    </w:p>
    <w:p w14:paraId="35CB9526"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Dalton, E. 1998. </w:t>
      </w:r>
      <w:r w:rsidRPr="00A9512D">
        <w:rPr>
          <w:rFonts w:eastAsia="Calibri"/>
          <w:b/>
          <w:i/>
          <w:iCs/>
          <w:sz w:val="23"/>
          <w:szCs w:val="23"/>
        </w:rPr>
        <w:t>Teaching Pronunciation</w:t>
      </w:r>
      <w:r w:rsidRPr="00A9512D">
        <w:rPr>
          <w:rFonts w:ascii="TimesNewRomanPSMT" w:eastAsia="Calibri" w:hAnsi="TimesNewRomanPSMT" w:cs="TimesNewRomanPSMT"/>
          <w:sz w:val="23"/>
          <w:szCs w:val="23"/>
        </w:rPr>
        <w:t xml:space="preserve">. </w:t>
      </w:r>
      <w:smartTag w:uri="urn:schemas-microsoft-com:office:smarttags" w:element="place">
        <w:smartTag w:uri="urn:schemas-microsoft-com:office:smarttags" w:element="City">
          <w:r w:rsidRPr="00A9512D">
            <w:rPr>
              <w:rFonts w:ascii="TimesNewRomanPSMT" w:eastAsia="Calibri" w:hAnsi="TimesNewRomanPSMT" w:cs="TimesNewRomanPSMT"/>
              <w:sz w:val="23"/>
              <w:szCs w:val="23"/>
            </w:rPr>
            <w:t>London</w:t>
          </w:r>
        </w:smartTag>
      </w:smartTag>
      <w:r w:rsidRPr="00A9512D">
        <w:rPr>
          <w:rFonts w:ascii="TimesNewRomanPSMT" w:eastAsia="Calibri" w:hAnsi="TimesNewRomanPSMT" w:cs="TimesNewRomanPSMT"/>
          <w:sz w:val="23"/>
          <w:szCs w:val="23"/>
        </w:rPr>
        <w:t>: Longman Group Ltd.</w:t>
      </w:r>
    </w:p>
    <w:p w14:paraId="5E25AA8B"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Harmer, J. 2000. </w:t>
      </w:r>
      <w:r w:rsidRPr="00A9512D">
        <w:rPr>
          <w:rFonts w:eastAsia="Calibri"/>
          <w:b/>
          <w:i/>
          <w:iCs/>
          <w:sz w:val="23"/>
          <w:szCs w:val="23"/>
        </w:rPr>
        <w:t>The Practice of English language Teaching</w:t>
      </w:r>
      <w:r w:rsidRPr="00A9512D">
        <w:rPr>
          <w:rFonts w:ascii="TimesNewRomanPSMT" w:eastAsia="Calibri" w:hAnsi="TimesNewRomanPSMT" w:cs="TimesNewRomanPSMT"/>
          <w:sz w:val="23"/>
          <w:szCs w:val="23"/>
        </w:rPr>
        <w:t xml:space="preserve">. </w:t>
      </w:r>
      <w:smartTag w:uri="urn:schemas-microsoft-com:office:smarttags" w:element="place">
        <w:smartTag w:uri="urn:schemas-microsoft-com:office:smarttags" w:element="City">
          <w:r w:rsidRPr="00A9512D">
            <w:rPr>
              <w:rFonts w:ascii="TimesNewRomanPSMT" w:eastAsia="Calibri" w:hAnsi="TimesNewRomanPSMT" w:cs="TimesNewRomanPSMT"/>
              <w:sz w:val="23"/>
              <w:szCs w:val="23"/>
            </w:rPr>
            <w:t>London</w:t>
          </w:r>
        </w:smartTag>
      </w:smartTag>
      <w:r w:rsidRPr="00A9512D">
        <w:rPr>
          <w:rFonts w:ascii="TimesNewRomanPSMT" w:eastAsia="Calibri" w:hAnsi="TimesNewRomanPSMT" w:cs="TimesNewRomanPSMT"/>
          <w:sz w:val="23"/>
          <w:szCs w:val="23"/>
        </w:rPr>
        <w:t>: Longman Group Ltd.</w:t>
      </w:r>
    </w:p>
    <w:p w14:paraId="660C8B3B"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Haycraft, J. 1983. </w:t>
      </w:r>
      <w:r w:rsidRPr="00A9512D">
        <w:rPr>
          <w:rFonts w:eastAsia="Calibri"/>
          <w:b/>
          <w:i/>
          <w:iCs/>
          <w:sz w:val="23"/>
          <w:szCs w:val="23"/>
        </w:rPr>
        <w:t>An Introduction to English Language Teaching</w:t>
      </w:r>
      <w:r w:rsidRPr="00A9512D">
        <w:rPr>
          <w:rFonts w:ascii="TimesNewRomanPSMT" w:eastAsia="Calibri" w:hAnsi="TimesNewRomanPSMT" w:cs="TimesNewRomanPSMT"/>
          <w:sz w:val="23"/>
          <w:szCs w:val="23"/>
        </w:rPr>
        <w:t xml:space="preserve">. </w:t>
      </w:r>
      <w:smartTag w:uri="urn:schemas-microsoft-com:office:smarttags" w:element="place">
        <w:smartTag w:uri="urn:schemas-microsoft-com:office:smarttags" w:element="City">
          <w:r w:rsidRPr="00A9512D">
            <w:rPr>
              <w:rFonts w:ascii="TimesNewRomanPSMT" w:eastAsia="Calibri" w:hAnsi="TimesNewRomanPSMT" w:cs="TimesNewRomanPSMT"/>
              <w:sz w:val="23"/>
              <w:szCs w:val="23"/>
            </w:rPr>
            <w:t>London</w:t>
          </w:r>
        </w:smartTag>
      </w:smartTag>
      <w:r w:rsidRPr="00A9512D">
        <w:rPr>
          <w:rFonts w:ascii="TimesNewRomanPSMT" w:eastAsia="Calibri" w:hAnsi="TimesNewRomanPSMT" w:cs="TimesNewRomanPSMT"/>
          <w:sz w:val="23"/>
          <w:szCs w:val="23"/>
        </w:rPr>
        <w:t>: Longman Group Ltd.</w:t>
      </w:r>
    </w:p>
    <w:p w14:paraId="0A46567D"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Hornby, A.S. 1995. </w:t>
      </w:r>
      <w:smartTag w:uri="urn:schemas-microsoft-com:office:smarttags" w:element="place">
        <w:smartTag w:uri="urn:schemas-microsoft-com:office:smarttags" w:element="City">
          <w:r w:rsidRPr="00A9512D">
            <w:rPr>
              <w:rFonts w:eastAsia="Calibri"/>
              <w:b/>
              <w:i/>
              <w:iCs/>
              <w:sz w:val="23"/>
              <w:szCs w:val="23"/>
            </w:rPr>
            <w:t>Oxford</w:t>
          </w:r>
        </w:smartTag>
      </w:smartTag>
      <w:r w:rsidRPr="00A9512D">
        <w:rPr>
          <w:rFonts w:eastAsia="Calibri"/>
          <w:b/>
          <w:i/>
          <w:iCs/>
          <w:sz w:val="23"/>
          <w:szCs w:val="23"/>
        </w:rPr>
        <w:t xml:space="preserve"> Advanced Learners Dictionary</w:t>
      </w:r>
      <w:r w:rsidRPr="00A9512D">
        <w:rPr>
          <w:rFonts w:ascii="TimesNewRomanPSMT" w:eastAsia="Calibri" w:hAnsi="TimesNewRomanPSMT" w:cs="TimesNewRomanPSMT"/>
          <w:sz w:val="23"/>
          <w:szCs w:val="23"/>
        </w:rPr>
        <w:t xml:space="preserve">. </w:t>
      </w:r>
      <w:smartTag w:uri="urn:schemas-microsoft-com:office:smarttags" w:element="City">
        <w:r w:rsidRPr="00A9512D">
          <w:rPr>
            <w:rFonts w:ascii="TimesNewRomanPSMT" w:eastAsia="Calibri" w:hAnsi="TimesNewRomanPSMT" w:cs="TimesNewRomanPSMT"/>
            <w:sz w:val="23"/>
            <w:szCs w:val="23"/>
          </w:rPr>
          <w:t>Oxford</w:t>
        </w:r>
      </w:smartTag>
      <w:r w:rsidRPr="00A9512D">
        <w:rPr>
          <w:rFonts w:ascii="TimesNewRomanPSMT" w:eastAsia="Calibri" w:hAnsi="TimesNewRomanPSMT" w:cs="TimesNewRomanPSMT"/>
          <w:sz w:val="23"/>
          <w:szCs w:val="23"/>
        </w:rPr>
        <w:t xml:space="preserve">: </w:t>
      </w:r>
      <w:smartTag w:uri="urn:schemas-microsoft-com:office:smarttags" w:element="place">
        <w:smartTag w:uri="urn:schemas-microsoft-com:office:smarttags" w:element="PlaceName">
          <w:r w:rsidRPr="00A9512D">
            <w:rPr>
              <w:rFonts w:ascii="TimesNewRomanPSMT" w:eastAsia="Calibri" w:hAnsi="TimesNewRomanPSMT" w:cs="TimesNewRomanPSMT"/>
              <w:sz w:val="23"/>
              <w:szCs w:val="23"/>
            </w:rPr>
            <w:t>Oxford</w:t>
          </w:r>
        </w:smartTag>
        <w:smartTag w:uri="urn:schemas-microsoft-com:office:smarttags" w:element="PlaceType">
          <w:r w:rsidRPr="00A9512D">
            <w:rPr>
              <w:rFonts w:ascii="TimesNewRomanPSMT" w:eastAsia="Calibri" w:hAnsi="TimesNewRomanPSMT" w:cs="TimesNewRomanPSMT"/>
              <w:sz w:val="23"/>
              <w:szCs w:val="23"/>
            </w:rPr>
            <w:t>University</w:t>
          </w:r>
        </w:smartTag>
      </w:smartTag>
      <w:r w:rsidRPr="00A9512D">
        <w:rPr>
          <w:rFonts w:ascii="TimesNewRomanPSMT" w:eastAsia="Calibri" w:hAnsi="TimesNewRomanPSMT" w:cs="TimesNewRomanPSMT"/>
          <w:sz w:val="23"/>
          <w:szCs w:val="23"/>
        </w:rPr>
        <w:t xml:space="preserve"> Press. </w:t>
      </w:r>
    </w:p>
    <w:p w14:paraId="4770BD25"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http://www.allwords.com/word-song+thrush.html</w:t>
      </w:r>
    </w:p>
    <w:p w14:paraId="4B151613"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http://www.allwords.com/query.php?SearchType=3&amp;Keyword=song&amp;goquery=F</w:t>
      </w:r>
    </w:p>
    <w:p w14:paraId="02FCA462"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ind+it%21&amp;Language=ENG&amp;v=65646309</w:t>
      </w:r>
    </w:p>
    <w:p w14:paraId="313AF009" w14:textId="77777777" w:rsidR="00D466D6" w:rsidRPr="00A9512D" w:rsidRDefault="00D466D6" w:rsidP="00D466D6">
      <w:pPr>
        <w:jc w:val="both"/>
        <w:rPr>
          <w:rFonts w:ascii="TimesNewRomanPSMT" w:eastAsia="Calibri" w:hAnsi="TimesNewRomanPSMT" w:cs="TimesNewRomanPSMT"/>
          <w:sz w:val="23"/>
          <w:szCs w:val="23"/>
        </w:rPr>
      </w:pPr>
      <w:hyperlink r:id="rId7" w:history="1">
        <w:r w:rsidRPr="00A9512D">
          <w:rPr>
            <w:rFonts w:ascii="TimesNewRomanPSMT" w:eastAsia="Calibri" w:hAnsi="TimesNewRomanPSMT" w:cs="TimesNewRomanPSMT"/>
            <w:sz w:val="23"/>
            <w:szCs w:val="23"/>
            <w:u w:val="single"/>
          </w:rPr>
          <w:t>http://www.songsforteaching.com/phonemicawareness.html</w:t>
        </w:r>
      </w:hyperlink>
    </w:p>
    <w:p w14:paraId="3D175819" w14:textId="77777777" w:rsidR="00D466D6" w:rsidRPr="00A9512D" w:rsidRDefault="00D466D6" w:rsidP="00D466D6">
      <w:pPr>
        <w:ind w:left="828" w:hanging="828"/>
        <w:jc w:val="both"/>
        <w:rPr>
          <w:rFonts w:ascii="TimesNewRomanPSMT" w:eastAsia="Calibri" w:hAnsi="TimesNewRomanPSMT" w:cs="TimesNewRomanPSMT"/>
          <w:sz w:val="23"/>
          <w:szCs w:val="23"/>
        </w:rPr>
      </w:pPr>
      <w:hyperlink r:id="rId8" w:history="1">
        <w:r w:rsidRPr="00A9512D">
          <w:rPr>
            <w:rFonts w:ascii="TimesNewRomanPSMT" w:eastAsia="Calibri" w:hAnsi="TimesNewRomanPSMT" w:cs="TimesNewRomanPSMT"/>
            <w:sz w:val="23"/>
            <w:szCs w:val="23"/>
            <w:u w:val="single"/>
          </w:rPr>
          <w:t>http://users.tkk.fi/u/dpihko/cyberSAC/Pronunciation/element2.htm</w:t>
        </w:r>
      </w:hyperlink>
    </w:p>
    <w:p w14:paraId="439B84DC"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u w:val="single"/>
        </w:rPr>
      </w:pPr>
      <w:hyperlink r:id="rId9" w:history="1">
        <w:r w:rsidRPr="00A9512D">
          <w:rPr>
            <w:rFonts w:ascii="TimesNewRomanPSMT" w:eastAsia="Calibri" w:hAnsi="TimesNewRomanPSMT" w:cs="TimesNewRomanPSMT"/>
            <w:sz w:val="23"/>
            <w:szCs w:val="23"/>
            <w:u w:val="single"/>
          </w:rPr>
          <w:t>http://www.thefreedictionary.com/suprasegmental</w:t>
        </w:r>
      </w:hyperlink>
    </w:p>
    <w:p w14:paraId="4044B43A"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Kholis, N. (2006). </w:t>
      </w:r>
      <w:r w:rsidRPr="00A9512D">
        <w:rPr>
          <w:rFonts w:ascii="TimesNewRomanPSMT" w:eastAsia="Calibri" w:hAnsi="TimesNewRomanPSMT" w:cs="TimesNewRomanPSMT"/>
          <w:i/>
          <w:sz w:val="23"/>
          <w:szCs w:val="23"/>
        </w:rPr>
        <w:t xml:space="preserve">The Problem in Pronouncing English Fricative, </w:t>
      </w:r>
      <w:r w:rsidRPr="00A9512D">
        <w:rPr>
          <w:rFonts w:ascii="TimesNewRomanPSMT" w:eastAsia="Calibri" w:hAnsi="TimesNewRomanPSMT" w:cs="TimesNewRomanPSMT"/>
          <w:sz w:val="23"/>
          <w:szCs w:val="23"/>
        </w:rPr>
        <w:t>UNNES – Semarang: Paper _ Unpublished.</w:t>
      </w:r>
    </w:p>
    <w:p w14:paraId="26C2F9C7"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Kulsum, A. K. (2006). </w:t>
      </w:r>
      <w:r w:rsidRPr="00A9512D">
        <w:rPr>
          <w:rFonts w:ascii="TimesNewRomanPSMT" w:eastAsia="Calibri" w:hAnsi="TimesNewRomanPSMT" w:cs="TimesNewRomanPSMT"/>
          <w:i/>
          <w:sz w:val="23"/>
          <w:szCs w:val="23"/>
        </w:rPr>
        <w:t>The Methods of Developing Students’ Pronunciation</w:t>
      </w:r>
      <w:r w:rsidRPr="00A9512D">
        <w:rPr>
          <w:rFonts w:ascii="TimesNewRomanPSMT" w:eastAsia="Calibri" w:hAnsi="TimesNewRomanPSMT" w:cs="TimesNewRomanPSMT"/>
          <w:sz w:val="23"/>
          <w:szCs w:val="23"/>
        </w:rPr>
        <w:t>, STKIP – Garut: Paper – Unpublished.</w:t>
      </w:r>
    </w:p>
    <w:p w14:paraId="20F4FF91"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Mulyani, Y. (2006). </w:t>
      </w:r>
      <w:r w:rsidRPr="00A9512D">
        <w:rPr>
          <w:rFonts w:ascii="TimesNewRomanPSMT" w:eastAsia="Calibri" w:hAnsi="TimesNewRomanPSMT" w:cs="TimesNewRomanPSMT"/>
          <w:i/>
          <w:sz w:val="23"/>
          <w:szCs w:val="23"/>
        </w:rPr>
        <w:t>Retteling Story to Improve Students’ Ability in Speaking Performance</w:t>
      </w:r>
      <w:r w:rsidRPr="00A9512D">
        <w:rPr>
          <w:rFonts w:ascii="TimesNewRomanPSMT" w:eastAsia="Calibri" w:hAnsi="TimesNewRomanPSMT" w:cs="TimesNewRomanPSMT"/>
          <w:sz w:val="23"/>
          <w:szCs w:val="23"/>
        </w:rPr>
        <w:t>, STKIP –Garut: Paper – Unpublished.</w:t>
      </w:r>
    </w:p>
    <w:p w14:paraId="71FD20F5"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Paul, D. 1996. </w:t>
      </w:r>
      <w:r w:rsidRPr="00A9512D">
        <w:rPr>
          <w:rFonts w:eastAsia="Calibri"/>
          <w:b/>
          <w:i/>
          <w:iCs/>
          <w:sz w:val="23"/>
          <w:szCs w:val="23"/>
        </w:rPr>
        <w:t>Song and Games for Children</w:t>
      </w:r>
      <w:r w:rsidRPr="00A9512D">
        <w:rPr>
          <w:rFonts w:ascii="TimesNewRomanPSMT" w:eastAsia="Calibri" w:hAnsi="TimesNewRomanPSMT" w:cs="TimesNewRomanPSMT"/>
          <w:sz w:val="23"/>
          <w:szCs w:val="23"/>
        </w:rPr>
        <w:t xml:space="preserve">. </w:t>
      </w:r>
      <w:smartTag w:uri="urn:schemas-microsoft-com:office:smarttags" w:element="State">
        <w:smartTag w:uri="urn:schemas-microsoft-com:office:smarttags" w:element="place">
          <w:r w:rsidRPr="00A9512D">
            <w:rPr>
              <w:rFonts w:ascii="TimesNewRomanPSMT" w:eastAsia="Calibri" w:hAnsi="TimesNewRomanPSMT" w:cs="TimesNewRomanPSMT"/>
              <w:sz w:val="23"/>
              <w:szCs w:val="23"/>
            </w:rPr>
            <w:t>New York</w:t>
          </w:r>
        </w:smartTag>
      </w:smartTag>
      <w:r w:rsidRPr="00A9512D">
        <w:rPr>
          <w:rFonts w:ascii="TimesNewRomanPSMT" w:eastAsia="Calibri" w:hAnsi="TimesNewRomanPSMT" w:cs="TimesNewRomanPSMT"/>
          <w:sz w:val="23"/>
          <w:szCs w:val="23"/>
        </w:rPr>
        <w:t>: Macmillan publishing Co. inc.</w:t>
      </w:r>
    </w:p>
    <w:p w14:paraId="16E65B8E"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Purwayanti, R. (2008). </w:t>
      </w:r>
      <w:r w:rsidRPr="00A9512D">
        <w:rPr>
          <w:rFonts w:ascii="TimesNewRomanPSMT" w:eastAsia="Calibri" w:hAnsi="TimesNewRomanPSMT" w:cs="TimesNewRomanPSMT"/>
          <w:b/>
          <w:i/>
          <w:sz w:val="23"/>
          <w:szCs w:val="23"/>
        </w:rPr>
        <w:t>The Effectiveness of Flashcard in Enriching Students’ Vocabular</w:t>
      </w:r>
      <w:r w:rsidRPr="00A9512D">
        <w:rPr>
          <w:rFonts w:ascii="TimesNewRomanPSMT" w:eastAsia="Calibri" w:hAnsi="TimesNewRomanPSMT" w:cs="TimesNewRomanPSMT"/>
          <w:sz w:val="23"/>
          <w:szCs w:val="23"/>
        </w:rPr>
        <w:t>y, STKIP – Garut: Paper – Unpublished.</w:t>
      </w:r>
    </w:p>
    <w:p w14:paraId="1E531681"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Ramelan. 1985. </w:t>
      </w:r>
      <w:r w:rsidRPr="00A9512D">
        <w:rPr>
          <w:rFonts w:eastAsia="Calibri"/>
          <w:b/>
          <w:i/>
          <w:iCs/>
          <w:sz w:val="23"/>
          <w:szCs w:val="23"/>
        </w:rPr>
        <w:t>English Phonetics</w:t>
      </w:r>
      <w:r w:rsidRPr="00A9512D">
        <w:rPr>
          <w:rFonts w:ascii="TimesNewRomanPSMT" w:eastAsia="Calibri" w:hAnsi="TimesNewRomanPSMT" w:cs="TimesNewRomanPSMT"/>
          <w:sz w:val="23"/>
          <w:szCs w:val="23"/>
        </w:rPr>
        <w:t xml:space="preserve">. </w:t>
      </w:r>
      <w:smartTag w:uri="urn:schemas-microsoft-com:office:smarttags" w:element="City">
        <w:r w:rsidRPr="00A9512D">
          <w:rPr>
            <w:rFonts w:ascii="TimesNewRomanPSMT" w:eastAsia="Calibri" w:hAnsi="TimesNewRomanPSMT" w:cs="TimesNewRomanPSMT"/>
            <w:sz w:val="23"/>
            <w:szCs w:val="23"/>
          </w:rPr>
          <w:t>Semarang</w:t>
        </w:r>
      </w:smartTag>
      <w:r w:rsidRPr="00A9512D">
        <w:rPr>
          <w:rFonts w:ascii="TimesNewRomanPSMT" w:eastAsia="Calibri" w:hAnsi="TimesNewRomanPSMT" w:cs="TimesNewRomanPSMT"/>
          <w:sz w:val="23"/>
          <w:szCs w:val="23"/>
        </w:rPr>
        <w:t xml:space="preserve">: IKIP </w:t>
      </w:r>
      <w:smartTag w:uri="urn:schemas-microsoft-com:office:smarttags" w:element="place">
        <w:smartTag w:uri="urn:schemas-microsoft-com:office:smarttags" w:element="City">
          <w:r w:rsidRPr="00A9512D">
            <w:rPr>
              <w:rFonts w:ascii="TimesNewRomanPSMT" w:eastAsia="Calibri" w:hAnsi="TimesNewRomanPSMT" w:cs="TimesNewRomanPSMT"/>
              <w:sz w:val="23"/>
              <w:szCs w:val="23"/>
            </w:rPr>
            <w:t>Semarang</w:t>
          </w:r>
        </w:smartTag>
      </w:smartTag>
      <w:r w:rsidRPr="00A9512D">
        <w:rPr>
          <w:rFonts w:ascii="TimesNewRomanPSMT" w:eastAsia="Calibri" w:hAnsi="TimesNewRomanPSMT" w:cs="TimesNewRomanPSMT"/>
          <w:sz w:val="23"/>
          <w:szCs w:val="23"/>
        </w:rPr>
        <w:t xml:space="preserve"> Press.</w:t>
      </w:r>
    </w:p>
    <w:p w14:paraId="74930403"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Ramelan. 1992. </w:t>
      </w:r>
      <w:r w:rsidRPr="00A9512D">
        <w:rPr>
          <w:rFonts w:eastAsia="Calibri"/>
          <w:b/>
          <w:i/>
          <w:iCs/>
          <w:sz w:val="23"/>
          <w:szCs w:val="23"/>
        </w:rPr>
        <w:t>An Introduction to Language Analysis</w:t>
      </w:r>
      <w:r w:rsidRPr="00A9512D">
        <w:rPr>
          <w:rFonts w:ascii="TimesNewRomanPSMT" w:eastAsia="Calibri" w:hAnsi="TimesNewRomanPSMT" w:cs="TimesNewRomanPSMT"/>
          <w:sz w:val="23"/>
          <w:szCs w:val="23"/>
        </w:rPr>
        <w:t xml:space="preserve">. </w:t>
      </w:r>
      <w:smartTag w:uri="urn:schemas-microsoft-com:office:smarttags" w:element="City">
        <w:r w:rsidRPr="00A9512D">
          <w:rPr>
            <w:rFonts w:ascii="TimesNewRomanPSMT" w:eastAsia="Calibri" w:hAnsi="TimesNewRomanPSMT" w:cs="TimesNewRomanPSMT"/>
            <w:sz w:val="23"/>
            <w:szCs w:val="23"/>
          </w:rPr>
          <w:t>Semarang</w:t>
        </w:r>
      </w:smartTag>
      <w:r w:rsidRPr="00A9512D">
        <w:rPr>
          <w:rFonts w:ascii="TimesNewRomanPSMT" w:eastAsia="Calibri" w:hAnsi="TimesNewRomanPSMT" w:cs="TimesNewRomanPSMT"/>
          <w:sz w:val="23"/>
          <w:szCs w:val="23"/>
        </w:rPr>
        <w:t xml:space="preserve">: IKIP </w:t>
      </w:r>
      <w:smartTag w:uri="urn:schemas-microsoft-com:office:smarttags" w:element="place">
        <w:smartTag w:uri="urn:schemas-microsoft-com:office:smarttags" w:element="City">
          <w:r w:rsidRPr="00A9512D">
            <w:rPr>
              <w:rFonts w:ascii="TimesNewRomanPSMT" w:eastAsia="Calibri" w:hAnsi="TimesNewRomanPSMT" w:cs="TimesNewRomanPSMT"/>
              <w:sz w:val="23"/>
              <w:szCs w:val="23"/>
            </w:rPr>
            <w:t>Semarang</w:t>
          </w:r>
        </w:smartTag>
      </w:smartTag>
      <w:r w:rsidRPr="00A9512D">
        <w:rPr>
          <w:rFonts w:ascii="TimesNewRomanPSMT" w:eastAsia="Calibri" w:hAnsi="TimesNewRomanPSMT" w:cs="TimesNewRomanPSMT"/>
          <w:sz w:val="23"/>
          <w:szCs w:val="23"/>
        </w:rPr>
        <w:t xml:space="preserve"> Press.</w:t>
      </w:r>
    </w:p>
    <w:p w14:paraId="470DED49"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Ratnasari, H. (2007). </w:t>
      </w:r>
      <w:r w:rsidRPr="00A9512D">
        <w:rPr>
          <w:rFonts w:ascii="TimesNewRomanPSMT" w:eastAsia="Calibri" w:hAnsi="TimesNewRomanPSMT" w:cs="TimesNewRomanPSMT"/>
          <w:i/>
          <w:sz w:val="23"/>
          <w:szCs w:val="23"/>
        </w:rPr>
        <w:t>Songs to Developing Students’ Pronunciation</w:t>
      </w:r>
      <w:r w:rsidRPr="00A9512D">
        <w:rPr>
          <w:rFonts w:ascii="TimesNewRomanPSMT" w:eastAsia="Calibri" w:hAnsi="TimesNewRomanPSMT" w:cs="TimesNewRomanPSMT"/>
          <w:sz w:val="23"/>
          <w:szCs w:val="23"/>
        </w:rPr>
        <w:t>, UNNES – Semarang: Paper – Unpublished</w:t>
      </w:r>
    </w:p>
    <w:p w14:paraId="7C54EFA5" w14:textId="77777777" w:rsidR="00D466D6" w:rsidRPr="00A9512D" w:rsidRDefault="00D466D6" w:rsidP="00D466D6">
      <w:pPr>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Septiani, S. (2005). </w:t>
      </w:r>
      <w:r w:rsidRPr="00A9512D">
        <w:rPr>
          <w:rFonts w:ascii="TimesNewRomanPSMT" w:eastAsia="Calibri" w:hAnsi="TimesNewRomanPSMT" w:cs="TimesNewRomanPSMT"/>
          <w:b/>
          <w:i/>
          <w:sz w:val="23"/>
          <w:szCs w:val="23"/>
        </w:rPr>
        <w:t>Students’s Ability in Pronuncing English Fricatives</w:t>
      </w:r>
      <w:r w:rsidRPr="00A9512D">
        <w:rPr>
          <w:rFonts w:ascii="TimesNewRomanPSMT" w:eastAsia="Calibri" w:hAnsi="TimesNewRomanPSMT" w:cs="TimesNewRomanPSMT"/>
          <w:i/>
          <w:sz w:val="23"/>
          <w:szCs w:val="23"/>
        </w:rPr>
        <w:t>.</w:t>
      </w:r>
      <w:r w:rsidRPr="00A9512D">
        <w:rPr>
          <w:rFonts w:ascii="TimesNewRomanPSMT" w:eastAsia="Calibri" w:hAnsi="TimesNewRomanPSMT" w:cs="TimesNewRomanPSMT"/>
          <w:sz w:val="23"/>
          <w:szCs w:val="23"/>
        </w:rPr>
        <w:t xml:space="preserve"> UNNES – Semarang: Paper – Unpublished.</w:t>
      </w:r>
    </w:p>
    <w:p w14:paraId="617A7CE2"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Surjakusumah, Y. 2006. </w:t>
      </w:r>
      <w:r w:rsidRPr="00A9512D">
        <w:rPr>
          <w:rFonts w:ascii="TimesNewRomanPSMT" w:eastAsia="Calibri" w:hAnsi="TimesNewRomanPSMT" w:cs="TimesNewRomanPSMT"/>
          <w:i/>
          <w:sz w:val="23"/>
          <w:szCs w:val="23"/>
        </w:rPr>
        <w:t xml:space="preserve">Areas of Language Teaching and Learning Research.  </w:t>
      </w:r>
      <w:r w:rsidRPr="00A9512D">
        <w:rPr>
          <w:rFonts w:ascii="TimesNewRomanPSMT" w:eastAsia="Calibri" w:hAnsi="TimesNewRomanPSMT" w:cs="TimesNewRomanPSMT"/>
          <w:sz w:val="23"/>
          <w:szCs w:val="23"/>
        </w:rPr>
        <w:t>Bandung</w:t>
      </w:r>
      <w:r w:rsidRPr="00A9512D">
        <w:rPr>
          <w:rFonts w:ascii="TimesNewRomanPSMT" w:eastAsia="Calibri" w:hAnsi="TimesNewRomanPSMT" w:cs="TimesNewRomanPSMT"/>
          <w:i/>
          <w:sz w:val="23"/>
          <w:szCs w:val="23"/>
        </w:rPr>
        <w:t xml:space="preserve">: </w:t>
      </w:r>
      <w:r w:rsidRPr="00A9512D">
        <w:rPr>
          <w:rFonts w:ascii="TimesNewRomanPSMT" w:eastAsia="Calibri" w:hAnsi="TimesNewRomanPSMT" w:cs="TimesNewRomanPSMT"/>
          <w:sz w:val="23"/>
          <w:szCs w:val="23"/>
        </w:rPr>
        <w:t>FPBS UPI Press.</w:t>
      </w:r>
    </w:p>
    <w:p w14:paraId="3315D254" w14:textId="77777777" w:rsidR="00D466D6" w:rsidRPr="00A9512D" w:rsidRDefault="00D466D6" w:rsidP="00D466D6">
      <w:pPr>
        <w:autoSpaceDE w:val="0"/>
        <w:autoSpaceDN w:val="0"/>
        <w:adjustRightInd w:val="0"/>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Soeparwoto. (2004). </w:t>
      </w:r>
      <w:r w:rsidRPr="00A9512D">
        <w:rPr>
          <w:rFonts w:eastAsia="Calibri"/>
          <w:b/>
          <w:i/>
          <w:iCs/>
          <w:sz w:val="23"/>
          <w:szCs w:val="23"/>
        </w:rPr>
        <w:t>Psikologi Perkembangan</w:t>
      </w:r>
      <w:r w:rsidRPr="00A9512D">
        <w:rPr>
          <w:rFonts w:ascii="TimesNewRomanPSMT" w:eastAsia="Calibri" w:hAnsi="TimesNewRomanPSMT" w:cs="TimesNewRomanPSMT"/>
          <w:sz w:val="23"/>
          <w:szCs w:val="23"/>
        </w:rPr>
        <w:t>. Semarang: UPT UNNES Press.</w:t>
      </w:r>
    </w:p>
    <w:p w14:paraId="6732AD64" w14:textId="77777777" w:rsidR="00D466D6" w:rsidRPr="00A9512D" w:rsidRDefault="00D466D6" w:rsidP="00D466D6">
      <w:pPr>
        <w:autoSpaceDE w:val="0"/>
        <w:autoSpaceDN w:val="0"/>
        <w:adjustRightInd w:val="0"/>
        <w:ind w:left="828" w:hanging="828"/>
        <w:jc w:val="both"/>
        <w:rPr>
          <w:rFonts w:ascii="TimesNewRomanPSMT" w:eastAsia="Calibri" w:hAnsi="TimesNewRomanPSMT" w:cs="TimesNewRomanPSMT"/>
          <w:sz w:val="23"/>
          <w:szCs w:val="23"/>
        </w:rPr>
      </w:pPr>
      <w:r w:rsidRPr="00A9512D">
        <w:rPr>
          <w:rFonts w:ascii="TimesNewRomanPSMT" w:eastAsia="Calibri" w:hAnsi="TimesNewRomanPSMT" w:cs="TimesNewRomanPSMT"/>
          <w:sz w:val="23"/>
          <w:szCs w:val="23"/>
        </w:rPr>
        <w:t xml:space="preserve">University, Oxford. (2008). </w:t>
      </w:r>
      <w:r w:rsidRPr="00A9512D">
        <w:rPr>
          <w:rFonts w:ascii="TimesNewRomanPSMT" w:eastAsia="Calibri" w:hAnsi="TimesNewRomanPSMT" w:cs="TimesNewRomanPSMT"/>
          <w:i/>
          <w:sz w:val="23"/>
          <w:szCs w:val="23"/>
        </w:rPr>
        <w:t>Oxford Learner’s Pocket Dictionary</w:t>
      </w:r>
      <w:r w:rsidRPr="00A9512D">
        <w:rPr>
          <w:rFonts w:ascii="TimesNewRomanPSMT" w:eastAsia="Calibri" w:hAnsi="TimesNewRomanPSMT" w:cs="TimesNewRomanPSMT"/>
          <w:sz w:val="23"/>
          <w:szCs w:val="23"/>
        </w:rPr>
        <w:t>. New York.</w:t>
      </w:r>
    </w:p>
    <w:p w14:paraId="1E32BD1B" w14:textId="77777777" w:rsidR="00D466D6" w:rsidRPr="00A9512D" w:rsidRDefault="00D466D6" w:rsidP="00D466D6">
      <w:pPr>
        <w:jc w:val="both"/>
        <w:rPr>
          <w:rFonts w:ascii="Calibri" w:eastAsia="Calibri" w:hAnsi="Calibri"/>
          <w:sz w:val="22"/>
          <w:szCs w:val="22"/>
        </w:rPr>
      </w:pPr>
    </w:p>
    <w:p w14:paraId="1DB790D5"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7FD"/>
    <w:multiLevelType w:val="hybridMultilevel"/>
    <w:tmpl w:val="D2FED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34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D6"/>
    <w:rsid w:val="00092FEF"/>
    <w:rsid w:val="00350AB8"/>
    <w:rsid w:val="00507CB0"/>
    <w:rsid w:val="005C6BFF"/>
    <w:rsid w:val="008E4A1F"/>
    <w:rsid w:val="0096045F"/>
    <w:rsid w:val="00B817A1"/>
    <w:rsid w:val="00D466D6"/>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946116B"/>
  <w15:chartTrackingRefBased/>
  <w15:docId w15:val="{E901DD42-F4AB-4A1E-B9E4-2C0706D6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D6"/>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D466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66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66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66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66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66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6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6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6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6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66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66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66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66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6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6D6"/>
    <w:rPr>
      <w:rFonts w:eastAsiaTheme="majorEastAsia" w:cstheme="majorBidi"/>
      <w:color w:val="272727" w:themeColor="text1" w:themeTint="D8"/>
    </w:rPr>
  </w:style>
  <w:style w:type="paragraph" w:styleId="Title">
    <w:name w:val="Title"/>
    <w:basedOn w:val="Normal"/>
    <w:next w:val="Normal"/>
    <w:link w:val="TitleChar"/>
    <w:uiPriority w:val="10"/>
    <w:qFormat/>
    <w:rsid w:val="00D466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6D6"/>
    <w:pPr>
      <w:spacing w:before="160"/>
      <w:jc w:val="center"/>
    </w:pPr>
    <w:rPr>
      <w:i/>
      <w:iCs/>
      <w:color w:val="404040" w:themeColor="text1" w:themeTint="BF"/>
    </w:rPr>
  </w:style>
  <w:style w:type="character" w:customStyle="1" w:styleId="QuoteChar">
    <w:name w:val="Quote Char"/>
    <w:basedOn w:val="DefaultParagraphFont"/>
    <w:link w:val="Quote"/>
    <w:uiPriority w:val="29"/>
    <w:rsid w:val="00D466D6"/>
    <w:rPr>
      <w:i/>
      <w:iCs/>
      <w:color w:val="404040" w:themeColor="text1" w:themeTint="BF"/>
    </w:rPr>
  </w:style>
  <w:style w:type="paragraph" w:styleId="ListParagraph">
    <w:name w:val="List Paragraph"/>
    <w:basedOn w:val="Normal"/>
    <w:uiPriority w:val="34"/>
    <w:qFormat/>
    <w:rsid w:val="00D466D6"/>
    <w:pPr>
      <w:ind w:left="720"/>
      <w:contextualSpacing/>
    </w:pPr>
  </w:style>
  <w:style w:type="character" w:styleId="IntenseEmphasis">
    <w:name w:val="Intense Emphasis"/>
    <w:basedOn w:val="DefaultParagraphFont"/>
    <w:uiPriority w:val="21"/>
    <w:qFormat/>
    <w:rsid w:val="00D466D6"/>
    <w:rPr>
      <w:i/>
      <w:iCs/>
      <w:color w:val="2F5496" w:themeColor="accent1" w:themeShade="BF"/>
    </w:rPr>
  </w:style>
  <w:style w:type="paragraph" w:styleId="IntenseQuote">
    <w:name w:val="Intense Quote"/>
    <w:basedOn w:val="Normal"/>
    <w:next w:val="Normal"/>
    <w:link w:val="IntenseQuoteChar"/>
    <w:uiPriority w:val="30"/>
    <w:qFormat/>
    <w:rsid w:val="00D466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66D6"/>
    <w:rPr>
      <w:i/>
      <w:iCs/>
      <w:color w:val="2F5496" w:themeColor="accent1" w:themeShade="BF"/>
    </w:rPr>
  </w:style>
  <w:style w:type="character" w:styleId="IntenseReference">
    <w:name w:val="Intense Reference"/>
    <w:basedOn w:val="DefaultParagraphFont"/>
    <w:uiPriority w:val="32"/>
    <w:qFormat/>
    <w:rsid w:val="00D466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ers.tkk.fi/u/dpihko/cyberSAC/Pronunciation/element2.htm" TargetMode="External"/><Relationship Id="rId3" Type="http://schemas.openxmlformats.org/officeDocument/2006/relationships/settings" Target="settings.xml"/><Relationship Id="rId7" Type="http://schemas.openxmlformats.org/officeDocument/2006/relationships/hyperlink" Target="http://www.songsforteaching.com/phonemicawarene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kipedia.org/wiki/song" TargetMode="External"/><Relationship Id="rId11" Type="http://schemas.openxmlformats.org/officeDocument/2006/relationships/theme" Target="theme/theme1.xml"/><Relationship Id="rId5" Type="http://schemas.openxmlformats.org/officeDocument/2006/relationships/hyperlink" Target="http://www.answer.com/topic/so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freedictionary.com/supraseg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2026-07-08T06:45:00Z</dcterms:created>
  <dcterms:modified xsi:type="dcterms:W3CDTF">2026-07-08T06:46:00Z</dcterms:modified>
</cp:coreProperties>
</file>