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6913A" w14:textId="77777777" w:rsidR="00D77015" w:rsidRDefault="00D77015" w:rsidP="00D77015">
      <w:pPr>
        <w:spacing w:after="256" w:line="265" w:lineRule="auto"/>
        <w:ind w:left="666" w:right="661"/>
        <w:jc w:val="center"/>
      </w:pPr>
      <w:r>
        <w:rPr>
          <w:rFonts w:ascii="Times New Roman" w:eastAsia="Times New Roman" w:hAnsi="Times New Roman" w:cs="Times New Roman"/>
          <w:b/>
        </w:rPr>
        <w:t>CHAPTER V</w:t>
      </w:r>
    </w:p>
    <w:p w14:paraId="120E29E7" w14:textId="77777777" w:rsidR="00D77015" w:rsidRDefault="00D77015" w:rsidP="00D77015">
      <w:pPr>
        <w:spacing w:after="818" w:line="265" w:lineRule="auto"/>
        <w:ind w:left="666" w:right="659"/>
        <w:jc w:val="center"/>
      </w:pPr>
      <w:r>
        <w:rPr>
          <w:rFonts w:ascii="Times New Roman" w:eastAsia="Times New Roman" w:hAnsi="Times New Roman" w:cs="Times New Roman"/>
          <w:b/>
        </w:rPr>
        <w:t>CONCLUSSION AND SUGGESTIONS</w:t>
      </w:r>
    </w:p>
    <w:p w14:paraId="446A2F80" w14:textId="77777777" w:rsidR="00D77015" w:rsidRDefault="00D77015" w:rsidP="00D77015">
      <w:pPr>
        <w:ind w:left="-15" w:right="4" w:firstLine="720"/>
      </w:pPr>
      <w:r>
        <w:t>In this chapter, the writer presented conclusions and suggestions of her research.</w:t>
      </w:r>
    </w:p>
    <w:p w14:paraId="38AD1E43" w14:textId="77777777" w:rsidR="00D77015" w:rsidRDefault="00D77015" w:rsidP="00D77015">
      <w:pPr>
        <w:pStyle w:val="Heading5"/>
        <w:ind w:left="-5"/>
      </w:pPr>
      <w:r>
        <w:t>5.1 Conclusions</w:t>
      </w:r>
    </w:p>
    <w:p w14:paraId="646EC53B" w14:textId="77777777" w:rsidR="00D77015" w:rsidRDefault="00D77015" w:rsidP="00D77015">
      <w:pPr>
        <w:ind w:left="-5" w:right="4"/>
      </w:pPr>
      <w:r>
        <w:t xml:space="preserve"> As stated in the first chapter, the aims of the study was to find out understanding of idiomatic expressions, including the words and meaning in the idiom of the “Black Eyed Peas” songs entitled Love you long time, Someday, Light up the night, and The time.  After the writer conducted the research, she concluded that in “Love You Long Time, Someday, Light up the Night, and The Time”, there are several idiomatic expressions. Some words that include idioms are “Walk up: </w:t>
      </w:r>
      <w:r>
        <w:rPr>
          <w:rFonts w:ascii="Times New Roman" w:eastAsia="Times New Roman" w:hAnsi="Times New Roman" w:cs="Times New Roman"/>
          <w:i/>
        </w:rPr>
        <w:t>mendaki</w:t>
      </w:r>
      <w:r>
        <w:t xml:space="preserve">”,”Take a walk: </w:t>
      </w:r>
      <w:r>
        <w:rPr>
          <w:rFonts w:ascii="Times New Roman" w:eastAsia="Times New Roman" w:hAnsi="Times New Roman" w:cs="Times New Roman"/>
          <w:i/>
        </w:rPr>
        <w:t>berjalan-jalan</w:t>
      </w:r>
      <w:r>
        <w:t xml:space="preserve">”, ”Run away: </w:t>
      </w:r>
      <w:r>
        <w:rPr>
          <w:rFonts w:ascii="Times New Roman" w:eastAsia="Times New Roman" w:hAnsi="Times New Roman" w:cs="Times New Roman"/>
          <w:i/>
        </w:rPr>
        <w:t>melarikan diri</w:t>
      </w:r>
      <w:r>
        <w:t xml:space="preserve">”, ”Get out: </w:t>
      </w:r>
      <w:r>
        <w:rPr>
          <w:rFonts w:ascii="Times New Roman" w:eastAsia="Times New Roman" w:hAnsi="Times New Roman" w:cs="Times New Roman"/>
          <w:i/>
        </w:rPr>
        <w:t>menjauh</w:t>
      </w:r>
      <w:r>
        <w:t xml:space="preserve">”, ”Keep on: </w:t>
      </w:r>
      <w:r>
        <w:rPr>
          <w:rFonts w:ascii="Times New Roman" w:eastAsia="Times New Roman" w:hAnsi="Times New Roman" w:cs="Times New Roman"/>
          <w:i/>
        </w:rPr>
        <w:t>tetap menjaga</w:t>
      </w:r>
      <w:r>
        <w:t xml:space="preserve">”, ”Get right: </w:t>
      </w:r>
      <w:r>
        <w:rPr>
          <w:rFonts w:ascii="Times New Roman" w:eastAsia="Times New Roman" w:hAnsi="Times New Roman" w:cs="Times New Roman"/>
          <w:i/>
        </w:rPr>
        <w:t>membuat kebenaran</w:t>
      </w:r>
      <w:r>
        <w:t xml:space="preserve">”, ”Figure out : </w:t>
      </w:r>
      <w:r>
        <w:rPr>
          <w:rFonts w:ascii="Times New Roman" w:eastAsia="Times New Roman" w:hAnsi="Times New Roman" w:cs="Times New Roman"/>
          <w:i/>
        </w:rPr>
        <w:t>memahami</w:t>
      </w:r>
      <w:r>
        <w:t xml:space="preserve">”, ”Came down: </w:t>
      </w:r>
      <w:r>
        <w:rPr>
          <w:rFonts w:ascii="Times New Roman" w:eastAsia="Times New Roman" w:hAnsi="Times New Roman" w:cs="Times New Roman"/>
          <w:i/>
        </w:rPr>
        <w:t>mengurangi</w:t>
      </w:r>
      <w:r>
        <w:t xml:space="preserve">”, ”Turn around: </w:t>
      </w:r>
      <w:r>
        <w:rPr>
          <w:rFonts w:ascii="Times New Roman" w:eastAsia="Times New Roman" w:hAnsi="Times New Roman" w:cs="Times New Roman"/>
          <w:i/>
        </w:rPr>
        <w:t>berbalik</w:t>
      </w:r>
      <w:r>
        <w:t xml:space="preserve">”, ”Keep on: </w:t>
      </w:r>
      <w:r>
        <w:rPr>
          <w:rFonts w:ascii="Times New Roman" w:eastAsia="Times New Roman" w:hAnsi="Times New Roman" w:cs="Times New Roman"/>
          <w:i/>
        </w:rPr>
        <w:t>terus menerus</w:t>
      </w:r>
      <w:r>
        <w:t xml:space="preserve">”, ”Light up: </w:t>
      </w:r>
      <w:r>
        <w:rPr>
          <w:rFonts w:ascii="Times New Roman" w:eastAsia="Times New Roman" w:hAnsi="Times New Roman" w:cs="Times New Roman"/>
          <w:i/>
        </w:rPr>
        <w:t>menerangi agar lebih menarik</w:t>
      </w:r>
      <w:r>
        <w:t xml:space="preserve">”, ”Turn up: </w:t>
      </w:r>
      <w:r>
        <w:rPr>
          <w:rFonts w:ascii="Times New Roman" w:eastAsia="Times New Roman" w:hAnsi="Times New Roman" w:cs="Times New Roman"/>
          <w:i/>
        </w:rPr>
        <w:t>memperbesar</w:t>
      </w:r>
      <w:r>
        <w:t xml:space="preserve">”, ”Come out: </w:t>
      </w:r>
      <w:r>
        <w:rPr>
          <w:rFonts w:ascii="Times New Roman" w:eastAsia="Times New Roman" w:hAnsi="Times New Roman" w:cs="Times New Roman"/>
          <w:i/>
        </w:rPr>
        <w:t>keluar</w:t>
      </w:r>
      <w:r>
        <w:t xml:space="preserve">”, ”Slow down: </w:t>
      </w:r>
      <w:r>
        <w:rPr>
          <w:rFonts w:ascii="Times New Roman" w:eastAsia="Times New Roman" w:hAnsi="Times New Roman" w:cs="Times New Roman"/>
          <w:i/>
        </w:rPr>
        <w:t>memperlambat</w:t>
      </w:r>
      <w:r>
        <w:t xml:space="preserve">”, ”Like a thunder sound: </w:t>
      </w:r>
      <w:r>
        <w:rPr>
          <w:rFonts w:ascii="Times New Roman" w:eastAsia="Times New Roman" w:hAnsi="Times New Roman" w:cs="Times New Roman"/>
          <w:i/>
        </w:rPr>
        <w:t>menggelegar</w:t>
      </w:r>
      <w:r>
        <w:t xml:space="preserve">”, ”Come up: </w:t>
      </w:r>
      <w:r>
        <w:rPr>
          <w:rFonts w:ascii="Times New Roman" w:eastAsia="Times New Roman" w:hAnsi="Times New Roman" w:cs="Times New Roman"/>
          <w:i/>
        </w:rPr>
        <w:t>datang</w:t>
      </w:r>
      <w:r>
        <w:t xml:space="preserve">”, ”Come on: </w:t>
      </w:r>
      <w:r>
        <w:rPr>
          <w:rFonts w:ascii="Times New Roman" w:eastAsia="Times New Roman" w:hAnsi="Times New Roman" w:cs="Times New Roman"/>
          <w:i/>
        </w:rPr>
        <w:t>bergegas, ayo</w:t>
      </w:r>
      <w:r>
        <w:t xml:space="preserve">”, ”Lost control: </w:t>
      </w:r>
      <w:r>
        <w:rPr>
          <w:rFonts w:ascii="Times New Roman" w:eastAsia="Times New Roman" w:hAnsi="Times New Roman" w:cs="Times New Roman"/>
          <w:i/>
        </w:rPr>
        <w:t>kehilangan kendali</w:t>
      </w:r>
      <w:r>
        <w:t xml:space="preserve">”, ”Turn up: </w:t>
      </w:r>
      <w:r>
        <w:rPr>
          <w:rFonts w:ascii="Times New Roman" w:eastAsia="Times New Roman" w:hAnsi="Times New Roman" w:cs="Times New Roman"/>
          <w:i/>
        </w:rPr>
        <w:t>muncul</w:t>
      </w:r>
      <w:r>
        <w:t xml:space="preserve">”, ”Step back: </w:t>
      </w:r>
      <w:r>
        <w:rPr>
          <w:rFonts w:ascii="Times New Roman" w:eastAsia="Times New Roman" w:hAnsi="Times New Roman" w:cs="Times New Roman"/>
          <w:i/>
        </w:rPr>
        <w:t>mundur</w:t>
      </w:r>
      <w:r>
        <w:t xml:space="preserve">”. The meanings of idioms in the sentence have different meaning from the individual words. </w:t>
      </w:r>
    </w:p>
    <w:p w14:paraId="089160EC" w14:textId="77777777" w:rsidR="00D77015" w:rsidRDefault="00D77015" w:rsidP="00D77015">
      <w:pPr>
        <w:pStyle w:val="Heading5"/>
        <w:ind w:left="-5"/>
      </w:pPr>
      <w:r>
        <w:t>5.2 Suggestions</w:t>
      </w:r>
    </w:p>
    <w:p w14:paraId="4C3FF435" w14:textId="77777777" w:rsidR="00D77015" w:rsidRDefault="00D77015" w:rsidP="00D77015">
      <w:pPr>
        <w:ind w:left="-15" w:right="4" w:firstLine="720"/>
      </w:pPr>
      <w:r>
        <w:t>Idioms are often found in the lyric songs, movies, books and even a story. The writer suggests the other researchers to conduct a further research about idioms in different media. The writer hopes the readers will understand how to learn idioms through songs. She realizes there are some aspects that have not been covered yet. Finally, the writer hopes that her research will be useful, especially to the writer and also to the readers in general.</w:t>
      </w:r>
      <w:r>
        <w:br w:type="page"/>
      </w:r>
    </w:p>
    <w:p w14:paraId="4C88711E" w14:textId="77777777" w:rsidR="00D77015" w:rsidRDefault="00D77015" w:rsidP="00D77015">
      <w:pPr>
        <w:spacing w:after="256" w:line="265" w:lineRule="auto"/>
        <w:ind w:left="666" w:right="662"/>
        <w:jc w:val="center"/>
      </w:pPr>
      <w:r>
        <w:rPr>
          <w:rFonts w:ascii="Times New Roman" w:eastAsia="Times New Roman" w:hAnsi="Times New Roman" w:cs="Times New Roman"/>
          <w:b/>
        </w:rPr>
        <w:lastRenderedPageBreak/>
        <w:t>BIBLIOGRAPHY</w:t>
      </w:r>
    </w:p>
    <w:p w14:paraId="296859E7" w14:textId="77777777" w:rsidR="00D77015" w:rsidRDefault="00D77015" w:rsidP="00D77015">
      <w:pPr>
        <w:spacing w:after="236" w:line="245" w:lineRule="auto"/>
        <w:ind w:left="864" w:right="4" w:hanging="879"/>
      </w:pPr>
      <w:r>
        <w:t xml:space="preserve">Bobrow, S.A. and S.M. Bell.(1973). </w:t>
      </w:r>
      <w:r>
        <w:rPr>
          <w:rFonts w:ascii="Times New Roman" w:eastAsia="Times New Roman" w:hAnsi="Times New Roman" w:cs="Times New Roman"/>
          <w:i/>
        </w:rPr>
        <w:t>On Catching on to Idiomatic Expressions</w:t>
      </w:r>
      <w:r>
        <w:t>. Memory &amp; Cognition 1 (3), 343-346.</w:t>
      </w:r>
    </w:p>
    <w:p w14:paraId="234DA9C4" w14:textId="77777777" w:rsidR="00D77015" w:rsidRDefault="00D77015" w:rsidP="00D77015">
      <w:pPr>
        <w:spacing w:after="236" w:line="245" w:lineRule="auto"/>
        <w:ind w:left="864" w:right="4" w:hanging="879"/>
      </w:pPr>
      <w:r>
        <w:t xml:space="preserve">Budiman, Arief. (2004). </w:t>
      </w:r>
      <w:r>
        <w:rPr>
          <w:rFonts w:ascii="Times New Roman" w:eastAsia="Times New Roman" w:hAnsi="Times New Roman" w:cs="Times New Roman"/>
          <w:i/>
        </w:rPr>
        <w:t>Kamus Idiom LengkapInggris-Indonesia</w:t>
      </w:r>
      <w:r>
        <w:t>. Bandung: CV. PustakaGrafika.</w:t>
      </w:r>
    </w:p>
    <w:p w14:paraId="75769C8A" w14:textId="77777777" w:rsidR="00D77015" w:rsidRDefault="00D77015" w:rsidP="00D77015">
      <w:pPr>
        <w:spacing w:after="236" w:line="245" w:lineRule="auto"/>
        <w:ind w:left="864" w:right="4" w:hanging="879"/>
      </w:pPr>
      <w:r>
        <w:t xml:space="preserve">Cacciari C. and P. Tabossi (eds.). (1993). </w:t>
      </w:r>
      <w:r>
        <w:rPr>
          <w:rFonts w:ascii="Times New Roman" w:eastAsia="Times New Roman" w:hAnsi="Times New Roman" w:cs="Times New Roman"/>
          <w:i/>
        </w:rPr>
        <w:t xml:space="preserve">Idioms: Processing, Structure, and Interpretation. </w:t>
      </w:r>
      <w:r>
        <w:t>Hillsdale, NJ: Lawrence Erlbaum Associates.</w:t>
      </w:r>
    </w:p>
    <w:p w14:paraId="62606041" w14:textId="77777777" w:rsidR="00D77015" w:rsidRDefault="00D77015" w:rsidP="00D77015">
      <w:pPr>
        <w:spacing w:after="224" w:line="259" w:lineRule="auto"/>
        <w:ind w:left="-5" w:right="4"/>
      </w:pPr>
      <w:r>
        <w:t>Creswell, John. W. (2009).</w:t>
      </w:r>
      <w:r>
        <w:rPr>
          <w:rFonts w:ascii="Times New Roman" w:eastAsia="Times New Roman" w:hAnsi="Times New Roman" w:cs="Times New Roman"/>
          <w:i/>
        </w:rPr>
        <w:t>Research Design</w:t>
      </w:r>
      <w:r>
        <w:t>.United State of America.</w:t>
      </w:r>
    </w:p>
    <w:p w14:paraId="26597CD9" w14:textId="77777777" w:rsidR="00D77015" w:rsidRDefault="00D77015" w:rsidP="00D77015">
      <w:pPr>
        <w:spacing w:after="220" w:line="265" w:lineRule="auto"/>
        <w:ind w:left="864" w:hanging="879"/>
      </w:pPr>
      <w:r>
        <w:t xml:space="preserve">Marissa, Febi. (2007). </w:t>
      </w:r>
      <w:r>
        <w:rPr>
          <w:rFonts w:ascii="Times New Roman" w:eastAsia="Times New Roman" w:hAnsi="Times New Roman" w:cs="Times New Roman"/>
          <w:i/>
        </w:rPr>
        <w:t xml:space="preserve">Student’s Strategies in Learning idiomatic Expressions. </w:t>
      </w:r>
      <w:r>
        <w:t>STKIP Garut.</w:t>
      </w:r>
    </w:p>
    <w:p w14:paraId="52176580" w14:textId="77777777" w:rsidR="00D77015" w:rsidRDefault="00D77015" w:rsidP="00D77015">
      <w:pPr>
        <w:spacing w:after="220" w:line="259" w:lineRule="auto"/>
        <w:ind w:left="-5" w:right="4"/>
      </w:pPr>
      <w:r>
        <w:t>Fernando, C. (1996</w:t>
      </w:r>
      <w:r>
        <w:rPr>
          <w:rFonts w:ascii="Times New Roman" w:eastAsia="Times New Roman" w:hAnsi="Times New Roman" w:cs="Times New Roman"/>
          <w:i/>
        </w:rPr>
        <w:t>). Idioms and Idiomaticity</w:t>
      </w:r>
      <w:r>
        <w:t>. Oxford: Oxford University Press.</w:t>
      </w:r>
    </w:p>
    <w:p w14:paraId="669DC314" w14:textId="77777777" w:rsidR="00D77015" w:rsidRDefault="00D77015" w:rsidP="00D77015">
      <w:pPr>
        <w:spacing w:after="240" w:line="243" w:lineRule="auto"/>
        <w:ind w:left="874" w:right="-4" w:hanging="889"/>
      </w:pPr>
      <w:r>
        <w:t>Glucksberg, S. (1993).</w:t>
      </w:r>
      <w:r>
        <w:rPr>
          <w:rFonts w:ascii="Times New Roman" w:eastAsia="Times New Roman" w:hAnsi="Times New Roman" w:cs="Times New Roman"/>
          <w:i/>
        </w:rPr>
        <w:t xml:space="preserve">Idiom Meanings and Allusional Content. In C. Cacciari and P. Tabossi (eds.), Idioms: Processing, Structure, and Interpretation. </w:t>
      </w:r>
      <w:r>
        <w:t>Hillsdale, NJ: Lawrence Erlbaum Associates, 3-26.</w:t>
      </w:r>
    </w:p>
    <w:p w14:paraId="4D51BF77" w14:textId="77777777" w:rsidR="00D77015" w:rsidRDefault="00D77015" w:rsidP="00D77015">
      <w:pPr>
        <w:spacing w:after="244" w:line="242" w:lineRule="auto"/>
        <w:ind w:left="864" w:right="4" w:hanging="879"/>
      </w:pPr>
      <w:r>
        <w:t xml:space="preserve">Hornby, Garry.(2000). </w:t>
      </w:r>
      <w:r>
        <w:rPr>
          <w:rFonts w:ascii="Times New Roman" w:eastAsia="Times New Roman" w:hAnsi="Times New Roman" w:cs="Times New Roman"/>
          <w:i/>
        </w:rPr>
        <w:t>Parent Involvement in Early Childhood Education</w:t>
      </w:r>
      <w:r>
        <w:t>. New Zeland: University of Canterbury Press.</w:t>
      </w:r>
    </w:p>
    <w:p w14:paraId="542B12F8" w14:textId="77777777" w:rsidR="00D77015" w:rsidRDefault="00D77015" w:rsidP="00D77015">
      <w:pPr>
        <w:spacing w:after="220" w:line="265" w:lineRule="auto"/>
        <w:ind w:left="864" w:hanging="879"/>
      </w:pPr>
      <w:r>
        <w:t>Irujo,S. 1986a</w:t>
      </w:r>
      <w:r>
        <w:rPr>
          <w:rFonts w:ascii="Times New Roman" w:eastAsia="Times New Roman" w:hAnsi="Times New Roman" w:cs="Times New Roman"/>
          <w:i/>
        </w:rPr>
        <w:t>. Don’t Put Your Leg in Your Mouth: Transfer in the Acquisition of Idioms in a Second Language</w:t>
      </w:r>
      <w:r>
        <w:t>. TESOL Quarterly 20 (2), 287-304.</w:t>
      </w:r>
    </w:p>
    <w:p w14:paraId="13838CA9" w14:textId="77777777" w:rsidR="00D77015" w:rsidRDefault="00D77015" w:rsidP="00D77015">
      <w:pPr>
        <w:spacing w:after="244" w:line="242" w:lineRule="auto"/>
        <w:ind w:left="864" w:right="4" w:hanging="879"/>
      </w:pPr>
      <w:r>
        <w:t xml:space="preserve">Luthan, M.T. (2010. </w:t>
      </w:r>
      <w:r>
        <w:rPr>
          <w:rFonts w:ascii="Times New Roman" w:eastAsia="Times New Roman" w:hAnsi="Times New Roman" w:cs="Times New Roman"/>
          <w:i/>
        </w:rPr>
        <w:t>The New Synonyn of Idiom Dictionary</w:t>
      </w:r>
      <w:r>
        <w:t>. Bandung: PT. Genesindo.</w:t>
      </w:r>
    </w:p>
    <w:p w14:paraId="38B7FDB2" w14:textId="77777777" w:rsidR="00D77015" w:rsidRDefault="00D77015" w:rsidP="00D77015">
      <w:pPr>
        <w:spacing w:after="238" w:line="243" w:lineRule="auto"/>
        <w:ind w:left="864" w:right="4" w:hanging="879"/>
      </w:pPr>
      <w:r>
        <w:t xml:space="preserve">Swinney, D.A. and A. Cutler.(1979). </w:t>
      </w:r>
      <w:r>
        <w:rPr>
          <w:rFonts w:ascii="Times New Roman" w:eastAsia="Times New Roman" w:hAnsi="Times New Roman" w:cs="Times New Roman"/>
          <w:i/>
        </w:rPr>
        <w:t>The Access and Processing of Idiomatic Expressions.</w:t>
      </w:r>
      <w:r>
        <w:t>Journal of Verbal Learning and Verbal Behavior 18 (5), 523-534.</w:t>
      </w:r>
    </w:p>
    <w:p w14:paraId="058C6864" w14:textId="77777777" w:rsidR="00D77015" w:rsidRDefault="00D77015" w:rsidP="00D77015">
      <w:pPr>
        <w:spacing w:after="224" w:line="259" w:lineRule="auto"/>
        <w:ind w:left="-5" w:right="4"/>
      </w:pPr>
      <w:r>
        <w:t xml:space="preserve">Wardaugh, Ronald. </w:t>
      </w:r>
      <w:r>
        <w:rPr>
          <w:rFonts w:ascii="Times New Roman" w:eastAsia="Times New Roman" w:hAnsi="Times New Roman" w:cs="Times New Roman"/>
          <w:i/>
        </w:rPr>
        <w:t>Introduction to Linguistics</w:t>
      </w:r>
      <w:r>
        <w:t>. United States.</w:t>
      </w:r>
    </w:p>
    <w:p w14:paraId="768D65D1" w14:textId="77777777" w:rsidR="00D77015" w:rsidRDefault="00D77015" w:rsidP="00D77015">
      <w:pPr>
        <w:spacing w:after="240" w:line="243" w:lineRule="auto"/>
        <w:ind w:left="874" w:right="-4" w:hanging="889"/>
      </w:pPr>
      <w:r>
        <w:t>Weinreich, U. (1969).</w:t>
      </w:r>
      <w:r>
        <w:rPr>
          <w:rFonts w:ascii="Times New Roman" w:eastAsia="Times New Roman" w:hAnsi="Times New Roman" w:cs="Times New Roman"/>
          <w:i/>
        </w:rPr>
        <w:t>Problems in the Analysis of Idioms.In J. Puhvel (ed.), Substance and structure of language</w:t>
      </w:r>
      <w:r>
        <w:t>. Berkley and Los Angeles: University of California Press, 23-81.</w:t>
      </w:r>
    </w:p>
    <w:p w14:paraId="29880A8C" w14:textId="77777777" w:rsidR="00D77015" w:rsidRDefault="00D77015" w:rsidP="00D77015">
      <w:pPr>
        <w:spacing w:after="259" w:line="265" w:lineRule="auto"/>
        <w:ind w:left="864" w:hanging="879"/>
      </w:pPr>
      <w:r>
        <w:t xml:space="preserve">Yulianti, Nantri. (2008). </w:t>
      </w:r>
      <w:r>
        <w:rPr>
          <w:rFonts w:ascii="Times New Roman" w:eastAsia="Times New Roman" w:hAnsi="Times New Roman" w:cs="Times New Roman"/>
          <w:i/>
        </w:rPr>
        <w:t>An Analysis of Religious Aspects in the Novel Ayat-AyatCinta by Habiburrahman El-Shirazy</w:t>
      </w:r>
      <w:r>
        <w:t>. STKIP Garut</w:t>
      </w:r>
    </w:p>
    <w:p w14:paraId="2985A419" w14:textId="77777777" w:rsidR="00D77015" w:rsidRDefault="00D77015"/>
    <w:sectPr w:rsidR="00D770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015"/>
    <w:rsid w:val="009309C6"/>
    <w:rsid w:val="00D770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3B67"/>
  <w15:chartTrackingRefBased/>
  <w15:docId w15:val="{0BA5266A-B4C3-4EC8-9BD2-F29D009D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015"/>
  </w:style>
  <w:style w:type="paragraph" w:styleId="Heading1">
    <w:name w:val="heading 1"/>
    <w:basedOn w:val="Normal"/>
    <w:next w:val="Normal"/>
    <w:link w:val="Heading1Char"/>
    <w:uiPriority w:val="9"/>
    <w:qFormat/>
    <w:rsid w:val="00D770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70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70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70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D770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7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0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70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70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70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D770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7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015"/>
    <w:rPr>
      <w:rFonts w:eastAsiaTheme="majorEastAsia" w:cstheme="majorBidi"/>
      <w:color w:val="272727" w:themeColor="text1" w:themeTint="D8"/>
    </w:rPr>
  </w:style>
  <w:style w:type="paragraph" w:styleId="Title">
    <w:name w:val="Title"/>
    <w:basedOn w:val="Normal"/>
    <w:next w:val="Normal"/>
    <w:link w:val="TitleChar"/>
    <w:uiPriority w:val="10"/>
    <w:qFormat/>
    <w:rsid w:val="00D77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015"/>
    <w:pPr>
      <w:spacing w:before="160"/>
      <w:jc w:val="center"/>
    </w:pPr>
    <w:rPr>
      <w:i/>
      <w:iCs/>
      <w:color w:val="404040" w:themeColor="text1" w:themeTint="BF"/>
    </w:rPr>
  </w:style>
  <w:style w:type="character" w:customStyle="1" w:styleId="QuoteChar">
    <w:name w:val="Quote Char"/>
    <w:basedOn w:val="DefaultParagraphFont"/>
    <w:link w:val="Quote"/>
    <w:uiPriority w:val="29"/>
    <w:rsid w:val="00D77015"/>
    <w:rPr>
      <w:i/>
      <w:iCs/>
      <w:color w:val="404040" w:themeColor="text1" w:themeTint="BF"/>
    </w:rPr>
  </w:style>
  <w:style w:type="paragraph" w:styleId="ListParagraph">
    <w:name w:val="List Paragraph"/>
    <w:basedOn w:val="Normal"/>
    <w:uiPriority w:val="34"/>
    <w:qFormat/>
    <w:rsid w:val="00D77015"/>
    <w:pPr>
      <w:ind w:left="720"/>
      <w:contextualSpacing/>
    </w:pPr>
  </w:style>
  <w:style w:type="character" w:styleId="IntenseEmphasis">
    <w:name w:val="Intense Emphasis"/>
    <w:basedOn w:val="DefaultParagraphFont"/>
    <w:uiPriority w:val="21"/>
    <w:qFormat/>
    <w:rsid w:val="00D77015"/>
    <w:rPr>
      <w:i/>
      <w:iCs/>
      <w:color w:val="2F5496" w:themeColor="accent1" w:themeShade="BF"/>
    </w:rPr>
  </w:style>
  <w:style w:type="paragraph" w:styleId="IntenseQuote">
    <w:name w:val="Intense Quote"/>
    <w:basedOn w:val="Normal"/>
    <w:next w:val="Normal"/>
    <w:link w:val="IntenseQuoteChar"/>
    <w:uiPriority w:val="30"/>
    <w:qFormat/>
    <w:rsid w:val="00D770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7015"/>
    <w:rPr>
      <w:i/>
      <w:iCs/>
      <w:color w:val="2F5496" w:themeColor="accent1" w:themeShade="BF"/>
    </w:rPr>
  </w:style>
  <w:style w:type="character" w:styleId="IntenseReference">
    <w:name w:val="Intense Reference"/>
    <w:basedOn w:val="DefaultParagraphFont"/>
    <w:uiPriority w:val="32"/>
    <w:qFormat/>
    <w:rsid w:val="00D770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2026-07-07T06:40:00Z</dcterms:created>
  <dcterms:modified xsi:type="dcterms:W3CDTF">2026-07-07T06:41:00Z</dcterms:modified>
</cp:coreProperties>
</file>