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C3" w:rsidRDefault="00AB0CC3" w:rsidP="00AB0CC3">
      <w:pPr>
        <w:pStyle w:val="Heading1"/>
        <w:ind w:left="0" w:firstLine="0"/>
      </w:pPr>
      <w:bookmarkStart w:id="0" w:name="_Toc109238689"/>
      <w:bookmarkStart w:id="1" w:name="_Toc109580131"/>
      <w:r>
        <w:br/>
      </w:r>
      <w:bookmarkStart w:id="2" w:name="_Toc114107768"/>
      <w:bookmarkStart w:id="3" w:name="_Toc111620148"/>
      <w:bookmarkStart w:id="4" w:name="_Toc111487565"/>
      <w:bookmarkStart w:id="5" w:name="_Toc110925320"/>
      <w:bookmarkStart w:id="6" w:name="_Toc110924469"/>
      <w:r>
        <w:t>RESEARCH METHODOLOGY</w:t>
      </w:r>
      <w:bookmarkEnd w:id="0"/>
      <w:bookmarkEnd w:id="1"/>
      <w:bookmarkEnd w:id="2"/>
      <w:bookmarkEnd w:id="3"/>
      <w:bookmarkEnd w:id="4"/>
      <w:bookmarkEnd w:id="5"/>
      <w:bookmarkEnd w:id="6"/>
    </w:p>
    <w:p w:rsidR="00AB0CC3" w:rsidRDefault="00AB0CC3" w:rsidP="00AB0CC3">
      <w:pPr>
        <w:autoSpaceDE w:val="0"/>
        <w:autoSpaceDN w:val="0"/>
        <w:adjustRightInd w:val="0"/>
        <w:spacing w:after="12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This chapter will concern the methodology and the procedure to develop the study. It contains the research design, research site, participant, research instrument, and data analysis.</w:t>
      </w:r>
    </w:p>
    <w:p w:rsidR="00AB0CC3" w:rsidRDefault="00AB0CC3" w:rsidP="00AB0CC3">
      <w:pPr>
        <w:pStyle w:val="Heading2"/>
        <w:spacing w:after="0"/>
        <w:ind w:left="0" w:firstLine="0"/>
        <w:contextualSpacing/>
      </w:pPr>
      <w:bookmarkStart w:id="7" w:name="_Toc114107769"/>
      <w:bookmarkStart w:id="8" w:name="_Toc111620149"/>
      <w:bookmarkStart w:id="9" w:name="_Toc111487566"/>
      <w:bookmarkStart w:id="10" w:name="_Toc110925321"/>
      <w:bookmarkStart w:id="11" w:name="_Toc110924470"/>
      <w:bookmarkStart w:id="12" w:name="_Toc109580132"/>
      <w:bookmarkStart w:id="13" w:name="_Toc109238690"/>
      <w:bookmarkStart w:id="14" w:name="_Toc109067860"/>
      <w:r>
        <w:t>Research Design</w:t>
      </w:r>
      <w:bookmarkEnd w:id="7"/>
      <w:bookmarkEnd w:id="8"/>
      <w:bookmarkEnd w:id="9"/>
      <w:bookmarkEnd w:id="10"/>
      <w:bookmarkEnd w:id="11"/>
      <w:bookmarkEnd w:id="12"/>
      <w:bookmarkEnd w:id="13"/>
      <w:bookmarkEnd w:id="14"/>
    </w:p>
    <w:p w:rsidR="00AB0CC3" w:rsidRDefault="00AB0CC3" w:rsidP="00AB0CC3">
      <w:pPr>
        <w:spacing w:after="0" w:line="360" w:lineRule="auto"/>
        <w:contextualSpacing/>
        <w:jc w:val="both"/>
        <w:rPr>
          <w:rFonts w:ascii="Times New Roman" w:hAnsi="Times New Roman" w:cs="Times New Roman"/>
          <w:sz w:val="24"/>
        </w:rPr>
      </w:pPr>
      <w:r>
        <w:rPr>
          <w:rFonts w:ascii="Times New Roman" w:eastAsia="Times New Roman" w:hAnsi="Times New Roman" w:cs="Times New Roman"/>
          <w:sz w:val="24"/>
          <w:szCs w:val="24"/>
        </w:rPr>
        <w:t>This study used a qualitative approach because it focused on the critical thinking process in argumentative essays produced by the students.</w:t>
      </w:r>
      <w:r>
        <w:rPr>
          <w:rFonts w:ascii="Times New Roman" w:hAnsi="Times New Roman" w:cs="Times New Roman"/>
          <w:sz w:val="24"/>
        </w:rPr>
        <w:t xml:space="preserve"> To examine the critical thinking process, in-depth research is needed. Therefore, the qualitative approach is appropriate to use since its purpose is to get a holistic picture and a deeper understanding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{"citationItems":[{"id":"ITEM-1","itemData":{"ISBN":"139780495601227","author":[{"dropping-particle":"","family":"Ary","given":"Donald","non-dropping-particle":"","parse-names":false,"suffix":""},{"dropping-particle":"","family":"Jacobs","given":"Lucy Cheser","non-dropping-particle":"","parse-names":false,"suffix":""},{"dropping-particle":"","family":"Irvine","given":"Christine K Sorensen","non-dropping-particle":"","parse-names":false,"suffix":""},{"dropping-particle":"","family":"Walker","given":"David","non-dropping-particle":"","parse-names":false,"suffix":""}],"edition":"Eight","editor":[{"dropping-particle":"","family":"Shortt","given":"Chris","non-dropping-particle":"","parse-names":false,"suffix":""}],"id":"ITEM-1","issued":{"date-parts":[["2010"]]},"publisher":"Cengage Learning","publisher-place":"Belmont","title":"Introduction to research in education","type":"book"},"uris":["http://www.mendeley.com/documents/?uuid=009aacaf-e8e7-46cd-9979-65da683af1ab"]}],"mendeley":{"formattedCitation":"(Ary et al., 2010)","plainTextFormattedCitation":"(Ary et al., 2010)","previouslyFormattedCitation":"(Ary et al.,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(Ary et al., 2010)</w:t>
      </w:r>
      <w:r>
        <w:rPr>
          <w:rFonts w:ascii="Times New Roman" w:hAnsi="Times New Roman" w:cs="Times New Roman"/>
          <w:sz w:val="24"/>
        </w:rPr>
        <w:fldChar w:fldCharType="end"/>
      </w:r>
      <w:r>
        <w:rPr>
          <w:rFonts w:ascii="Times New Roman" w:hAnsi="Times New Roman" w:cs="Times New Roman"/>
          <w:sz w:val="24"/>
        </w:rPr>
        <w:t>.</w:t>
      </w:r>
    </w:p>
    <w:p w:rsidR="00AB0CC3" w:rsidRDefault="00AB0CC3" w:rsidP="00AB0CC3">
      <w:pPr>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 used in this study is content analysis and the content for this study is text. As explained by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{"citationItems":[{"id":"ITEM-1","itemData":{"ISBN":"139780495601227","author":[{"dropping-particle":"","family":"Ary","given":"Donald","non-dropping-particle":"","parse-names":false,"suffix":""},{"dropping-particle":"","family":"Jacobs","given":"Lucy Cheser","non-dropping-particle":"","parse-names":false,"suffix":""},{"dropping-particle":"","family":"Irvine","given":"Christine K Sorensen","non-dropping-particle":"","parse-names":false,"suffix":""},{"dropping-particle":"","family":"Walker","given":"David","non-dropping-particle":"","parse-names":false,"suffix":""}],"edition":"Eight","editor":[{"dropping-particle":"","family":"Shortt","given":"Chris","non-dropping-particle":"","parse-names":false,"suffix":""}],"id":"ITEM-1","issued":{"date-parts":[["2010"]]},"publisher":"Cengage Learning","publisher-place":"Belmont","title":"Introduction to research in education","type":"book"},"uris":["http://www.mendeley.com/documents/?uuid=009aacaf-e8e7-46cd-9979-65da683af1ab"]}],"mendeley":{"formattedCitation":"(Ary et al., 2010)","manualFormatting":"Ary et al. (2010)","plainTextFormattedCitation":"(Ary et al., 2010)","previouslyFormattedCitation":"(Ary et al.,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Ary et al. (2010)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content analysis focuses on analyzing and interpreting recorded material to understand human behavior. Public records, textbooks, letters, diaries, reports, and other materials can be used. In this study, the content contains representations of students' critical thinking.</w:t>
      </w:r>
    </w:p>
    <w:p w:rsidR="00AB0CC3" w:rsidRDefault="00AB0CC3" w:rsidP="00AB0CC3">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this study used a qualitative approach and the content analysis method to get a detailed explanation and examination of </w:t>
      </w:r>
      <w:r>
        <w:rPr>
          <w:rFonts w:ascii="Times New Roman" w:hAnsi="Times New Roman" w:cs="Times New Roman"/>
          <w:sz w:val="24"/>
          <w:szCs w:val="24"/>
        </w:rPr>
        <w:t>the student's critical thinking in their</w:t>
      </w:r>
      <w:r>
        <w:rPr>
          <w:rFonts w:ascii="Times New Roman" w:eastAsia="Times New Roman" w:hAnsi="Times New Roman" w:cs="Times New Roman"/>
          <w:sz w:val="24"/>
          <w:szCs w:val="24"/>
        </w:rPr>
        <w:t xml:space="preserve"> </w:t>
      </w:r>
      <w:r>
        <w:rPr>
          <w:rFonts w:ascii="Times New Roman" w:hAnsi="Times New Roman" w:cs="Times New Roman"/>
          <w:sz w:val="24"/>
          <w:szCs w:val="24"/>
        </w:rPr>
        <w:t>writing of the argumentative essay to find the category of their critical thinking skill</w:t>
      </w:r>
      <w:r>
        <w:rPr>
          <w:rFonts w:ascii="Times New Roman" w:eastAsia="Times New Roman" w:hAnsi="Times New Roman" w:cs="Times New Roman"/>
          <w:sz w:val="24"/>
          <w:szCs w:val="24"/>
        </w:rPr>
        <w:t xml:space="preserve"> </w:t>
      </w:r>
      <w:r>
        <w:rPr>
          <w:rFonts w:ascii="Times New Roman" w:hAnsi="Times New Roman" w:cs="Times New Roman"/>
          <w:sz w:val="24"/>
          <w:szCs w:val="24"/>
        </w:rPr>
        <w:t>in their written work.</w:t>
      </w:r>
    </w:p>
    <w:p w:rsidR="00AB0CC3" w:rsidRDefault="00AB0CC3" w:rsidP="00AB0CC3">
      <w:pPr>
        <w:pStyle w:val="Heading2"/>
        <w:spacing w:after="0"/>
        <w:ind w:left="0" w:firstLine="0"/>
        <w:contextualSpacing/>
      </w:pPr>
      <w:bookmarkStart w:id="15" w:name="_Toc114107770"/>
      <w:bookmarkStart w:id="16" w:name="_Toc111620150"/>
      <w:bookmarkStart w:id="17" w:name="_Toc111487567"/>
      <w:bookmarkStart w:id="18" w:name="_Toc110925322"/>
      <w:bookmarkStart w:id="19" w:name="_Toc110924471"/>
      <w:bookmarkStart w:id="20" w:name="_Toc109580133"/>
      <w:bookmarkStart w:id="21" w:name="_Toc109238691"/>
      <w:bookmarkStart w:id="22" w:name="_Toc109067861"/>
      <w:r>
        <w:t>Data and Data Source</w:t>
      </w:r>
      <w:bookmarkEnd w:id="15"/>
      <w:bookmarkEnd w:id="16"/>
      <w:bookmarkEnd w:id="17"/>
      <w:bookmarkEnd w:id="18"/>
      <w:bookmarkEnd w:id="19"/>
      <w:bookmarkEnd w:id="20"/>
      <w:bookmarkEnd w:id="21"/>
      <w:bookmarkEnd w:id="22"/>
    </w:p>
    <w:p w:rsidR="00AB0CC3" w:rsidRDefault="00AB0CC3" w:rsidP="00AB0CC3">
      <w:pPr>
        <w:pStyle w:val="Heading3"/>
        <w:ind w:left="0" w:firstLine="0"/>
        <w:jc w:val="left"/>
        <w:rPr>
          <w:b/>
        </w:rPr>
      </w:pPr>
      <w:bookmarkStart w:id="23" w:name="_Toc114107771"/>
      <w:bookmarkStart w:id="24" w:name="_Toc111620151"/>
      <w:bookmarkStart w:id="25" w:name="_Toc111487568"/>
      <w:bookmarkStart w:id="26" w:name="_Toc110925323"/>
      <w:bookmarkStart w:id="27" w:name="_Toc110924472"/>
      <w:bookmarkStart w:id="28" w:name="_Toc109580134"/>
      <w:bookmarkStart w:id="29" w:name="_Toc109238692"/>
      <w:bookmarkStart w:id="30" w:name="_Toc109067862"/>
      <w:r>
        <w:rPr>
          <w:b/>
        </w:rPr>
        <w:t>Data</w:t>
      </w:r>
      <w:bookmarkEnd w:id="23"/>
      <w:bookmarkEnd w:id="24"/>
      <w:bookmarkEnd w:id="25"/>
      <w:bookmarkEnd w:id="26"/>
      <w:bookmarkEnd w:id="27"/>
      <w:bookmarkEnd w:id="28"/>
      <w:bookmarkEnd w:id="29"/>
      <w:bookmarkEnd w:id="30"/>
      <w:r>
        <w:rPr>
          <w:b/>
        </w:rPr>
        <w:t xml:space="preserve"> </w:t>
      </w:r>
    </w:p>
    <w:p w:rsidR="00AB0CC3" w:rsidRDefault="00AB0CC3" w:rsidP="00AB0CC3">
      <w:pPr>
        <w:autoSpaceDE w:val="0"/>
        <w:autoSpaceDN w:val="0"/>
        <w:adjustRightInd w:val="0"/>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data for this research were students’ argumentative texts. In the argumentative text, the writer presents his or her thoughts while keeping both writing and thinking skills in mind. As a result, well-structured argumentation aids the development of critical thinking abilities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{"citationItems":[{"id":"ITEM-1","itemData":{"DOI":"10.32996/ijllt.2021.4.9.19","ISSN":"2617-0299","abstract":"This research was conducted to investigate the relationship between two variables: critical thinking skills and argumentative writing skills in Moroccan Preparatory Classes of Higher Engineering Schools (Classes Préparatoires aux Grandes Ecoles) ( CPGE), Omar Ibn Khattab Meknes . The participants were the 2nd year Maths and Physics (MP) students in CPGE, Omar Ibn Al Khattab Meknes. 60 students participated in the study from a total number of 120 students. The research adopted the correlation design to measure the degree of association between two variables using the statistical procedure of correlation analysis. In this regard, a critical thinking test (AssessmentDay Practice Test Experts, 2018) was administered to test students’ critical thinking skills. Then, the students were asked to write an argumentative essay about social networking and creativity. To analyse the collected data, the study resorted to SPSS software (Statistical Package for the Social Science, version 23). Pearson’s correlation coefficient was used to investigate the significant relationship between critical thinking skills and argumentative writing. The result of the research displayed that the correlation coefficient is 0. 941, which means that the two tests are positively correlated and the correlation is very significant. The result of such correlation displayed clearly that critical thinking and argumentative writing have a positive relation.","author":[{"dropping-particle":"","family":"Beniche","given":"Mounir","non-dropping-particle":"","parse-names":false,"suffix":""},{"dropping-particle":"","family":"Larouz","given":"Mohammed","non-dropping-particle":"","parse-names":false,"suffix":""},{"dropping-particle":"","family":"Anasse","given":"Khadija","non-dropping-particle":"","parse-names":false,"suffix":""}],"container-title":"International Journal of Linguistics, Literature and Translation","id":"ITEM-1","issue":"9","issued":{"date-parts":[["2021","9","30"]]},"page":"194-201","title":"Examining the relationship between critical thinking skills and argumentative writing skills in moroccan preparatory classes of higher engineering schools (CPGE)","type":"article-journal","volume":"4"},"uris":["http://www.mendeley.com/documents/?uuid=519a82e1-a698-4222-b5b0-4149b46ce7db"]}],"mendeley":{"formattedCitation":"(Beniche et al., 2021)","plainTextFormattedCitation":"(Beniche et al., 2021)","previouslyFormattedCitation":"(Beniche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(Beniche et al., 2021)</w:t>
      </w:r>
      <w:r>
        <w:rPr>
          <w:rFonts w:ascii="Times New Roman" w:hAnsi="Times New Roman" w:cs="Times New Roman"/>
          <w:sz w:val="24"/>
          <w:szCs w:val="24"/>
        </w:rPr>
        <w:fldChar w:fldCharType="end"/>
      </w:r>
      <w:r>
        <w:rPr>
          <w:rFonts w:ascii="Times New Roman" w:hAnsi="Times New Roman" w:cs="Times New Roman"/>
          <w:sz w:val="24"/>
          <w:szCs w:val="24"/>
        </w:rPr>
        <w:t>. For this reason, the primary data of this study is argumentative text.</w:t>
      </w:r>
    </w:p>
    <w:p w:rsidR="00AB0CC3" w:rsidRDefault="00AB0CC3" w:rsidP="00AB0CC3">
      <w:pPr>
        <w:pStyle w:val="Heading3"/>
        <w:ind w:left="0" w:firstLine="0"/>
        <w:rPr>
          <w:b/>
        </w:rPr>
      </w:pPr>
      <w:bookmarkStart w:id="31" w:name="_Toc114107772"/>
      <w:bookmarkStart w:id="32" w:name="_Toc111620152"/>
      <w:bookmarkStart w:id="33" w:name="_Toc111487569"/>
      <w:bookmarkStart w:id="34" w:name="_Toc110925324"/>
      <w:bookmarkStart w:id="35" w:name="_Toc110924473"/>
      <w:bookmarkStart w:id="36" w:name="_Toc109580135"/>
      <w:bookmarkStart w:id="37" w:name="_Toc109238693"/>
      <w:bookmarkStart w:id="38" w:name="_Toc109067863"/>
      <w:r>
        <w:rPr>
          <w:b/>
        </w:rPr>
        <w:t>Data Source</w:t>
      </w:r>
      <w:bookmarkEnd w:id="31"/>
      <w:bookmarkEnd w:id="32"/>
      <w:bookmarkEnd w:id="33"/>
      <w:bookmarkEnd w:id="34"/>
      <w:bookmarkEnd w:id="35"/>
      <w:bookmarkEnd w:id="36"/>
      <w:bookmarkEnd w:id="37"/>
      <w:bookmarkEnd w:id="38"/>
    </w:p>
    <w:p w:rsidR="00AB0CC3" w:rsidRDefault="00AB0CC3" w:rsidP="00AB0CC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data sources in this study were eight students in the fourth semester of the English Department of Education at one university in Garut. They had completed the writing subject (writing I-III) and are now studying writing IV (argumentative writing). They were found to be capable of providing sufficient data. Participants </w:t>
      </w:r>
      <w:r>
        <w:rPr>
          <w:rFonts w:ascii="Times New Roman" w:hAnsi="Times New Roman" w:cs="Times New Roman"/>
          <w:sz w:val="24"/>
          <w:szCs w:val="24"/>
        </w:rPr>
        <w:lastRenderedPageBreak/>
        <w:t xml:space="preserve">were selected randomly 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{"citationItems":[{"id":"ITEM-1","itemData":{"ISBN":"978-0-13-136739-5","abstract":"Consider research your personal journey. It will be challenging but also exciting. Pack along for your journey a toolkit. In chapter 1 you will be introduced to the basic supplies. In your pack, place a solid understanding of “research.” Also include a map—the six steps in the process of conducting research. Realize that on this journey you need to respect people and the places you visit. Enjoy the process using your natural skills such as the ability to solve puzzles, use library resources, and write. After learning the process of research, decide on which of two major paths—quantitative or qualitative research—you will follow. Each is viable, and, in the end, you may choose to incorporate both, but as you begin a study consider one of the paths for your research journey.","author":[{"dropping-particle":"","family":"Cresswell","given":"John W.","non-dropping-particle":"","parse-names":false,"suffix":""}],"edition":"Fourth","editor":[{"dropping-particle":"","family":"Mason","given":"Karen","non-dropping-particle":"","parse-names":false,"suffix":""}],"id":"ITEM-1","issued":{"date-parts":[["2012"]]},"number-of-pages":"673","publisher":"Pearson Education, Inc","publisher-place":"Boston","title":"Educational Research: Planning, Conducting, and Evaluating Quantitative and Qualitative Research","type":"book"},"uris":["http://www.mendeley.com/documents/?uuid=ec4cfcf1-ea0a-4d0d-a4f0-bbe7b543fc41"]}],"mendeley":{"formattedCitation":"(Cresswell, 2012)","manualFormatting":"Cresswell (2012)","plainTextFormattedCitation":"(Cresswell, 2012)","previouslyFormattedCitation":"(Cresswell,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Cresswell (2012)</w:t>
      </w:r>
      <w:r>
        <w:rPr>
          <w:rFonts w:ascii="Times New Roman" w:hAnsi="Times New Roman" w:cs="Times New Roman"/>
          <w:sz w:val="24"/>
          <w:szCs w:val="24"/>
        </w:rPr>
        <w:fldChar w:fldCharType="end"/>
      </w:r>
      <w:r>
        <w:rPr>
          <w:rFonts w:ascii="Times New Roman" w:hAnsi="Times New Roman" w:cs="Times New Roman"/>
          <w:sz w:val="24"/>
          <w:szCs w:val="24"/>
        </w:rPr>
        <w:t xml:space="preserve"> said that “in random sampling, the individual has an equal probability of being selected from the population”. However, the population has standards that suit the needs of this study.</w:t>
      </w: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Furthermore, eight students were chosen as participants based on the theory from Gay and Diehl (1992) as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{"citationItems":[{"id":"ITEM-1","itemData":{"ISSN":"2528-7001","author":[{"dropping-particle":"","family":"Wiyadi","given":"Wiyadi","non-dropping-particle":"","parse-names":false,"suffix":""}],"container-title":"Jurnal Siasat Bisnis","id":"ITEM-1","issue":"1","issued":{"date-parts":[["2009"]]},"title":"Pengukuran indeks daya saing industri kecil menengah (IKM) di jawa tengah","type":"article-journal","volume":"13"},"uris":["http://www.mendeley.com/documents/?uuid=6d0b6732-061d-43bf-99fd-0f49f3410e37"]}],"mendeley":{"formattedCitation":"(Wiyadi, 2009)","manualFormatting":"Wiyadi (2009)","plainTextFormattedCitation":"(Wiyadi, 2009)","previouslyFormattedCitation":"(Wiyadi,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Wiyadi (2009)</w:t>
      </w:r>
      <w:r>
        <w:rPr>
          <w:rFonts w:ascii="Times New Roman" w:hAnsi="Times New Roman" w:cs="Times New Roman"/>
          <w:sz w:val="24"/>
          <w:szCs w:val="24"/>
        </w:rPr>
        <w:fldChar w:fldCharType="end"/>
      </w:r>
      <w:r>
        <w:rPr>
          <w:rFonts w:ascii="Times New Roman" w:hAnsi="Times New Roman" w:cs="Times New Roman"/>
          <w:sz w:val="24"/>
          <w:szCs w:val="24"/>
        </w:rPr>
        <w:t xml:space="preserve"> that the acceptable size of descriptive research is 10% of the total population. In this case, the total population is 74 students who are divided into 3 classes. It can be concluded, that 10% of 74 equals 7,4. Thus, the results were rounded to 8. Thus, 8 students served as the sample size for this study.</w:t>
      </w:r>
    </w:p>
    <w:p w:rsidR="00AB0CC3" w:rsidRDefault="00AB0CC3" w:rsidP="00AB0CC3">
      <w:pPr>
        <w:pStyle w:val="Heading2"/>
        <w:spacing w:after="0"/>
        <w:ind w:left="0" w:firstLine="0"/>
        <w:contextualSpacing/>
        <w:jc w:val="left"/>
      </w:pPr>
      <w:bookmarkStart w:id="39" w:name="_Toc114107773"/>
      <w:bookmarkStart w:id="40" w:name="_Toc111620153"/>
      <w:bookmarkStart w:id="41" w:name="_Toc111487570"/>
      <w:bookmarkStart w:id="42" w:name="_Toc110925325"/>
      <w:bookmarkStart w:id="43" w:name="_Toc110924474"/>
      <w:bookmarkStart w:id="44" w:name="_Toc109580136"/>
      <w:bookmarkStart w:id="45" w:name="_Toc109238694"/>
      <w:bookmarkStart w:id="46" w:name="_Toc109067864"/>
      <w:r>
        <w:t>Research Instrument</w:t>
      </w:r>
      <w:bookmarkEnd w:id="39"/>
      <w:bookmarkEnd w:id="40"/>
      <w:bookmarkEnd w:id="41"/>
      <w:bookmarkEnd w:id="42"/>
      <w:bookmarkEnd w:id="43"/>
      <w:bookmarkEnd w:id="44"/>
      <w:bookmarkEnd w:id="45"/>
      <w:bookmarkEnd w:id="46"/>
    </w:p>
    <w:p w:rsidR="00AB0CC3" w:rsidRDefault="00AB0CC3" w:rsidP="00AB0CC3">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 used to collect the data was documentation. Critical thinking is the important information that can be found through documentation to determine students' critical thinking categories. This is in line with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{"citationItems":[{"id":"ITEM-1","itemData":{"ISBN":"978-0-13-136739-5","abstract":"Consider research your personal journey. It will be challenging but also exciting. Pack along for your journey a toolkit. In chapter 1 you will be introduced to the basic supplies. In your pack, place a solid understanding of “research.” Also include a map—the six steps in the process of conducting research. Realize that on this journey you need to respect people and the places you visit. Enjoy the process using your natural skills such as the ability to solve puzzles, use library resources, and write. After learning the process of research, decide on which of two major paths—quantitative or qualitative research—you will follow. Each is viable, and, in the end, you may choose to incorporate both, but as you begin a study consider one of the paths for your research journey.","author":[{"dropping-particle":"","family":"Cresswell","given":"John W.","non-dropping-particle":"","parse-names":false,"suffix":""}],"edition":"Fourth","editor":[{"dropping-particle":"","family":"Mason","given":"Karen","non-dropping-particle":"","parse-names":false,"suffix":""}],"id":"ITEM-1","issued":{"date-parts":[["2012"]]},"number-of-pages":"673","publisher":"Pearson Education, Inc","publisher-place":"Boston","title":"Educational Research: Planning, Conducting, and Evaluating Quantitative and Qualitative Research","type":"book"},"uris":["http://www.mendeley.com/documents/?uuid=ec4cfcf1-ea0a-4d0d-a4f0-bbe7b543fc41"]}],"mendeley":{"formattedCitation":"(Cresswell, 2012)","manualFormatting":"Cresswell (2012)","plainTextFormattedCitation":"(Cresswell, 2012)","previouslyFormattedCitation":"(Cresswell,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Cresswell (2012)</w:t>
      </w:r>
      <w:r>
        <w:rPr>
          <w:rFonts w:ascii="Times New Roman" w:hAnsi="Times New Roman" w:cs="Times New Roman"/>
          <w:sz w:val="24"/>
          <w:szCs w:val="24"/>
        </w:rPr>
        <w:fldChar w:fldCharType="end"/>
      </w:r>
      <w:r>
        <w:rPr>
          <w:rFonts w:ascii="Times New Roman" w:hAnsi="Times New Roman" w:cs="Times New Roman"/>
          <w:sz w:val="24"/>
          <w:szCs w:val="24"/>
        </w:rPr>
        <w:t xml:space="preserve">, who states that documentation can be a useful source of information in qualitative research for helping the researcher in understanding the center of the phenomenon. </w:t>
      </w:r>
      <w:r>
        <w:rPr>
          <w:rFonts w:ascii="Times New Roman" w:hAnsi="Times New Roman" w:cs="Times New Roman"/>
          <w:sz w:val="24"/>
          <w:szCs w:val="20"/>
        </w:rPr>
        <w:t>The documents were argumentative texts that</w:t>
      </w:r>
      <w:r>
        <w:rPr>
          <w:rFonts w:ascii="Times New Roman" w:hAnsi="Times New Roman" w:cs="Times New Roman"/>
          <w:sz w:val="24"/>
          <w:szCs w:val="24"/>
        </w:rPr>
        <w:t xml:space="preserve"> were analyzed by a rubric called the Holistic Critical Thinking Scoring Rubric was used to assess the students’ final written work or the students’ argumentative essays to find out their critical thinking categories. </w:t>
      </w:r>
    </w:p>
    <w:p w:rsidR="00AB0CC3" w:rsidRDefault="00AB0CC3" w:rsidP="00AB0CC3">
      <w:pPr>
        <w:pStyle w:val="Heading2"/>
        <w:spacing w:after="0"/>
        <w:ind w:left="0" w:firstLine="0"/>
        <w:contextualSpacing/>
        <w:jc w:val="left"/>
      </w:pPr>
      <w:bookmarkStart w:id="47" w:name="_Toc114107774"/>
      <w:bookmarkStart w:id="48" w:name="_Toc111620154"/>
      <w:bookmarkStart w:id="49" w:name="_Toc111487571"/>
      <w:bookmarkStart w:id="50" w:name="_Toc110925326"/>
      <w:bookmarkStart w:id="51" w:name="_Toc110924475"/>
      <w:bookmarkStart w:id="52" w:name="_Toc109580137"/>
      <w:bookmarkStart w:id="53" w:name="_Toc109238695"/>
      <w:bookmarkStart w:id="54" w:name="_Toc109067865"/>
      <w:r>
        <w:t>Data Collection</w:t>
      </w:r>
      <w:bookmarkEnd w:id="47"/>
      <w:bookmarkEnd w:id="48"/>
      <w:bookmarkEnd w:id="49"/>
      <w:bookmarkEnd w:id="50"/>
      <w:bookmarkEnd w:id="51"/>
      <w:bookmarkEnd w:id="52"/>
      <w:bookmarkEnd w:id="53"/>
      <w:bookmarkEnd w:id="54"/>
    </w:p>
    <w:p w:rsidR="00AB0CC3" w:rsidRDefault="00AB0CC3" w:rsidP="00AB0CC3">
      <w:pPr>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In the process of collecting data, participants were approached and asked for their willingness to be participants in this study. They were also informed about the study's objectives and that this research follows research rhetoric so that information about participants will be kept confidential. Next, they were given an argumentative text format that had been carefully selected and deemed appropriate for this study. Then they were asked to write a text using the same format as given with the selected topic.</w:t>
      </w:r>
    </w:p>
    <w:p w:rsidR="00AB0CC3" w:rsidRDefault="00AB0CC3" w:rsidP="00AB0CC3">
      <w:pPr>
        <w:tabs>
          <w:tab w:val="left" w:pos="0"/>
          <w:tab w:val="left" w:pos="567"/>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argumentative text is not an easy text to make. For that reason, participants were given the convenience to do it at home within one week through google form. Finally, the data were collected.</w:t>
      </w:r>
    </w:p>
    <w:p w:rsidR="00AB0CC3" w:rsidRDefault="00AB0CC3" w:rsidP="00AB0CC3">
      <w:pPr>
        <w:tabs>
          <w:tab w:val="left" w:pos="0"/>
          <w:tab w:val="left" w:pos="567"/>
        </w:tabs>
        <w:autoSpaceDE w:val="0"/>
        <w:autoSpaceDN w:val="0"/>
        <w:adjustRightInd w:val="0"/>
        <w:spacing w:after="120" w:line="360" w:lineRule="auto"/>
        <w:jc w:val="both"/>
        <w:rPr>
          <w:rFonts w:ascii="Times New Roman" w:hAnsi="Times New Roman" w:cs="Times New Roman"/>
          <w:sz w:val="24"/>
          <w:szCs w:val="24"/>
        </w:rPr>
      </w:pPr>
    </w:p>
    <w:p w:rsidR="00AB0CC3" w:rsidRDefault="00AB0CC3" w:rsidP="00AB0CC3">
      <w:pPr>
        <w:pStyle w:val="Heading2"/>
        <w:spacing w:after="0"/>
        <w:ind w:left="0" w:firstLine="0"/>
        <w:contextualSpacing/>
      </w:pPr>
      <w:bookmarkStart w:id="55" w:name="_Toc114107775"/>
      <w:bookmarkStart w:id="56" w:name="_Toc111620155"/>
      <w:bookmarkStart w:id="57" w:name="_Toc111487572"/>
      <w:bookmarkStart w:id="58" w:name="_Toc110925327"/>
      <w:bookmarkStart w:id="59" w:name="_Toc110924476"/>
      <w:bookmarkStart w:id="60" w:name="_Toc109580138"/>
      <w:bookmarkStart w:id="61" w:name="_Toc109238696"/>
      <w:bookmarkStart w:id="62" w:name="_Toc109067866"/>
      <w:r>
        <w:lastRenderedPageBreak/>
        <w:t>Data Analysis</w:t>
      </w:r>
      <w:bookmarkEnd w:id="55"/>
      <w:bookmarkEnd w:id="56"/>
      <w:bookmarkEnd w:id="57"/>
      <w:bookmarkEnd w:id="58"/>
      <w:bookmarkEnd w:id="59"/>
      <w:bookmarkEnd w:id="60"/>
      <w:bookmarkEnd w:id="61"/>
      <w:bookmarkEnd w:id="62"/>
    </w:p>
    <w:p w:rsidR="00AB0CC3" w:rsidRDefault="00AB0CC3" w:rsidP="00AB0CC3">
      <w:pPr>
        <w:autoSpaceDE w:val="0"/>
        <w:autoSpaceDN w:val="0"/>
        <w:adjustRightInd w:val="0"/>
        <w:spacing w:after="0" w:line="360" w:lineRule="auto"/>
        <w:contextualSpacing/>
        <w:jc w:val="both"/>
        <w:rPr>
          <w:rFonts w:ascii="Times New Roman" w:hAnsi="Times New Roman" w:cs="Times New Roman"/>
          <w:sz w:val="24"/>
          <w:szCs w:val="23"/>
        </w:rPr>
      </w:pPr>
      <w:r>
        <w:rPr>
          <w:rFonts w:ascii="Times New Roman" w:hAnsi="Times New Roman" w:cs="Times New Roman"/>
          <w:sz w:val="24"/>
          <w:szCs w:val="23"/>
        </w:rPr>
        <w:t xml:space="preserve">In analyzing the data, first of all, all of the data were given codes, also called the coding step. Codes are labels or tags used to offer the meaning to descriptive or inferential data collected during a study </w:t>
      </w:r>
      <w:r>
        <w:rPr>
          <w:rFonts w:ascii="Times New Roman" w:hAnsi="Times New Roman" w:cs="Times New Roman"/>
          <w:sz w:val="24"/>
          <w:szCs w:val="23"/>
        </w:rPr>
        <w:fldChar w:fldCharType="begin" w:fldLock="1"/>
      </w:r>
      <w:r>
        <w:rPr>
          <w:rFonts w:ascii="Times New Roman" w:hAnsi="Times New Roman" w:cs="Times New Roman"/>
          <w:sz w:val="24"/>
          <w:szCs w:val="23"/>
        </w:rPr>
        <w:instrText>ADDIN CSL_CITATION {"citationItems":[{"id":"ITEM-1","itemData":{"ISBN":"0803955405","author":[{"dropping-particle":"","family":"Miles","given":"B Matthew","non-dropping-particle":"","parse-names":false,"suffix":""},{"dropping-particle":"","family":"Huberman","given":"A Michael","non-dropping-particle":"","parse-names":false,"suffix":""}],"edition":"2nd","id":"ITEM-1","issued":{"date-parts":[["1994"]]},"number-of-pages":"310","publisher":"Sage","publisher-place":"London","title":"Qualitative Data Analysis: An expanded sourcebook","type":"book"},"uris":["http://www.mendeley.com/documents/?uuid=b61c965f-c69e-49d3-8d8e-afbe5d61a0a2"]}],"mendeley":{"formattedCitation":"(Miles &amp; Huberman, 1994)","plainTextFormattedCitation":"(Miles &amp; Huberman, 1994)","previouslyFormattedCitation":"(Miles &amp; Huberman, 1994)"},"properties":{"noteIndex":0},"schema":"https://github.com/citation-style-language/schema/raw/master/csl-citation.json"}</w:instrText>
      </w:r>
      <w:r>
        <w:rPr>
          <w:rFonts w:ascii="Times New Roman" w:hAnsi="Times New Roman" w:cs="Times New Roman"/>
          <w:sz w:val="24"/>
          <w:szCs w:val="23"/>
        </w:rPr>
        <w:fldChar w:fldCharType="separate"/>
      </w:r>
      <w:r>
        <w:rPr>
          <w:rFonts w:ascii="Times New Roman" w:hAnsi="Times New Roman" w:cs="Times New Roman"/>
          <w:noProof/>
          <w:sz w:val="24"/>
          <w:szCs w:val="23"/>
        </w:rPr>
        <w:t>(Miles &amp; Huberman, 1994)</w:t>
      </w:r>
      <w:r>
        <w:rPr>
          <w:rFonts w:ascii="Times New Roman" w:hAnsi="Times New Roman" w:cs="Times New Roman"/>
          <w:sz w:val="24"/>
          <w:szCs w:val="23"/>
        </w:rPr>
        <w:fldChar w:fldCharType="end"/>
      </w:r>
      <w:r>
        <w:rPr>
          <w:rFonts w:ascii="Times New Roman" w:hAnsi="Times New Roman" w:cs="Times New Roman"/>
          <w:sz w:val="24"/>
          <w:szCs w:val="23"/>
        </w:rPr>
        <w:t>. It was done to make it easier to distinguish the data of one participant from another. The codes are S#1, S#2, S#3, S#4, S#5, S#6, S#7, and S#8. The letter “S” stands for “Student”. The numbers are for numbering all eight participants. The coding also being given to the text. ST stands for “Statement”, EV stands for “Evidance”, PR stands for “Pro”, and CO stands for “Contra”. There is a number to mark in this code, just like there is in the coding for participation. For instance: The first statement in the text is designated as ST#1, the first piece of evidence is designated as EV#1, and so on.</w:t>
      </w: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3"/>
        </w:rPr>
        <w:t xml:space="preserve">After coding, the next step is analyzing the data using a rubric from Peter A. Facione and Noreen Facione which is the </w:t>
      </w:r>
      <w:r>
        <w:rPr>
          <w:rFonts w:ascii="Times New Roman" w:hAnsi="Times New Roman" w:cs="Times New Roman"/>
          <w:sz w:val="24"/>
          <w:szCs w:val="24"/>
        </w:rPr>
        <w:t>Holistic Critical Thinking Scoring Rubric.</w:t>
      </w:r>
      <w:r>
        <w:rPr>
          <w:rFonts w:ascii="Times New Roman" w:hAnsi="Times New Roman" w:cs="Times New Roman"/>
          <w:sz w:val="24"/>
          <w:szCs w:val="23"/>
        </w:rPr>
        <w:t xml:space="preserve"> The rubric was used to expose the category of students’ critical thinking through their argumentative texts</w:t>
      </w:r>
      <w:r>
        <w:rPr>
          <w:rFonts w:ascii="Times New Roman" w:hAnsi="Times New Roman" w:cs="Times New Roman"/>
          <w:sz w:val="23"/>
          <w:szCs w:val="23"/>
        </w:rPr>
        <w:t>.</w:t>
      </w:r>
      <w:r>
        <w:rPr>
          <w:rFonts w:ascii="Times New Roman" w:hAnsi="Times New Roman" w:cs="Times New Roman"/>
          <w:sz w:val="24"/>
          <w:szCs w:val="24"/>
        </w:rPr>
        <w:t xml:space="preserve"> It consists of four categories of critical thinking, there are Strong (4); Acceptable (3); Unacceptable (2); and Significantly weak (1).</w:t>
      </w:r>
      <w:r>
        <w:rPr>
          <w:rFonts w:ascii="Times New Roman" w:hAnsi="Times New Roman" w:cs="Times New Roman"/>
          <w:sz w:val="24"/>
          <w:szCs w:val="23"/>
        </w:rPr>
        <w:t xml:space="preserve"> </w:t>
      </w:r>
      <w:r>
        <w:rPr>
          <w:rFonts w:ascii="Times New Roman" w:hAnsi="Times New Roman" w:cs="Times New Roman"/>
          <w:sz w:val="24"/>
          <w:szCs w:val="24"/>
        </w:rPr>
        <w:t xml:space="preserve">See </w:t>
      </w:r>
      <w:r>
        <w:rPr>
          <w:rFonts w:ascii="Times New Roman" w:hAnsi="Times New Roman" w:cs="Times New Roman"/>
          <w:b/>
          <w:bCs/>
          <w:sz w:val="24"/>
          <w:szCs w:val="24"/>
        </w:rPr>
        <w:t xml:space="preserve">table 3.1 </w:t>
      </w:r>
      <w:r>
        <w:rPr>
          <w:rFonts w:ascii="Times New Roman" w:hAnsi="Times New Roman" w:cs="Times New Roman"/>
          <w:sz w:val="24"/>
          <w:szCs w:val="24"/>
        </w:rPr>
        <w:t>below.</w:t>
      </w: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Default="00AB0CC3" w:rsidP="00AB0CC3">
      <w:pPr>
        <w:autoSpaceDE w:val="0"/>
        <w:autoSpaceDN w:val="0"/>
        <w:adjustRightInd w:val="0"/>
        <w:spacing w:after="120" w:line="360" w:lineRule="auto"/>
        <w:ind w:firstLine="567"/>
        <w:jc w:val="both"/>
        <w:rPr>
          <w:rFonts w:ascii="Times New Roman" w:hAnsi="Times New Roman" w:cs="Times New Roman"/>
          <w:sz w:val="24"/>
          <w:szCs w:val="24"/>
        </w:rPr>
      </w:pPr>
    </w:p>
    <w:p w:rsidR="00AB0CC3" w:rsidRPr="00AB0CC3" w:rsidRDefault="00AB0CC3" w:rsidP="00AB0CC3">
      <w:pPr>
        <w:autoSpaceDE w:val="0"/>
        <w:autoSpaceDN w:val="0"/>
        <w:adjustRightInd w:val="0"/>
        <w:spacing w:after="120" w:line="360" w:lineRule="auto"/>
        <w:ind w:firstLine="567"/>
        <w:jc w:val="center"/>
        <w:rPr>
          <w:rFonts w:ascii="Times New Roman" w:hAnsi="Times New Roman" w:cs="Times New Roman"/>
          <w:sz w:val="24"/>
          <w:szCs w:val="24"/>
        </w:rPr>
      </w:pPr>
      <w:bookmarkStart w:id="63" w:name="_GoBack"/>
      <w:bookmarkEnd w:id="63"/>
      <w:r>
        <w:rPr>
          <w:rFonts w:ascii="Times New Roman" w:hAnsi="Times New Roman" w:cs="Times New Roman"/>
          <w:b/>
          <w:sz w:val="24"/>
          <w:szCs w:val="24"/>
        </w:rPr>
        <w:lastRenderedPageBreak/>
        <w:t>Holistic Critical Thinking Scoring Rubric</w:t>
      </w:r>
    </w:p>
    <w:tbl>
      <w:tblPr>
        <w:tblStyle w:val="TableGrid"/>
        <w:tblW w:w="0" w:type="auto"/>
        <w:tblInd w:w="250" w:type="dxa"/>
        <w:tblLook w:val="04A0" w:firstRow="1" w:lastRow="0" w:firstColumn="1" w:lastColumn="0" w:noHBand="0" w:noVBand="1"/>
      </w:tblPr>
      <w:tblGrid>
        <w:gridCol w:w="1043"/>
        <w:gridCol w:w="1650"/>
        <w:gridCol w:w="4979"/>
      </w:tblGrid>
      <w:tr w:rsidR="00AB0CC3" w:rsidTr="00AB0CC3">
        <w:trPr>
          <w:trHeight w:val="347"/>
        </w:trPr>
        <w:tc>
          <w:tcPr>
            <w:tcW w:w="1043" w:type="dxa"/>
            <w:tcBorders>
              <w:top w:val="single" w:sz="4" w:space="0" w:color="auto"/>
              <w:left w:val="single" w:sz="4" w:space="0" w:color="auto"/>
              <w:bottom w:val="single" w:sz="4" w:space="0" w:color="auto"/>
              <w:right w:val="single" w:sz="4" w:space="0" w:color="auto"/>
            </w:tcBorders>
            <w:vAlign w:val="center"/>
            <w:hideMark/>
          </w:tcPr>
          <w:p w:rsidR="00AB0CC3" w:rsidRDefault="00AB0CC3">
            <w:pPr>
              <w:autoSpaceDE w:val="0"/>
              <w:autoSpaceDN w:val="0"/>
              <w:adjustRightInd w:val="0"/>
              <w:spacing w:after="120" w:line="360" w:lineRule="auto"/>
              <w:jc w:val="center"/>
              <w:rPr>
                <w:rFonts w:ascii="Times New Roman" w:hAnsi="Times New Roman" w:cs="Times New Roman"/>
                <w:b/>
                <w:szCs w:val="24"/>
                <w:lang w:eastAsia="en-US"/>
              </w:rPr>
            </w:pPr>
            <w:r>
              <w:rPr>
                <w:rFonts w:ascii="Times New Roman" w:hAnsi="Times New Roman" w:cs="Times New Roman"/>
                <w:b/>
                <w:szCs w:val="24"/>
                <w:lang w:eastAsia="en-US"/>
              </w:rPr>
              <w:t>SCORE</w:t>
            </w:r>
          </w:p>
        </w:tc>
        <w:tc>
          <w:tcPr>
            <w:tcW w:w="1650" w:type="dxa"/>
            <w:tcBorders>
              <w:top w:val="single" w:sz="4" w:space="0" w:color="auto"/>
              <w:left w:val="single" w:sz="4" w:space="0" w:color="auto"/>
              <w:bottom w:val="single" w:sz="4" w:space="0" w:color="auto"/>
              <w:right w:val="single" w:sz="4" w:space="0" w:color="auto"/>
            </w:tcBorders>
            <w:vAlign w:val="center"/>
            <w:hideMark/>
          </w:tcPr>
          <w:p w:rsidR="00AB0CC3" w:rsidRDefault="00AB0CC3">
            <w:pPr>
              <w:autoSpaceDE w:val="0"/>
              <w:autoSpaceDN w:val="0"/>
              <w:adjustRightInd w:val="0"/>
              <w:spacing w:after="120" w:line="360" w:lineRule="auto"/>
              <w:jc w:val="center"/>
              <w:rPr>
                <w:rFonts w:ascii="Times New Roman" w:hAnsi="Times New Roman" w:cs="Times New Roman"/>
                <w:b/>
                <w:szCs w:val="24"/>
                <w:lang w:eastAsia="en-US"/>
              </w:rPr>
            </w:pPr>
            <w:r>
              <w:rPr>
                <w:rFonts w:ascii="Times New Roman" w:hAnsi="Times New Roman" w:cs="Times New Roman"/>
                <w:b/>
                <w:szCs w:val="24"/>
                <w:lang w:eastAsia="en-US"/>
              </w:rPr>
              <w:t>CATEGORY</w:t>
            </w:r>
          </w:p>
        </w:tc>
        <w:tc>
          <w:tcPr>
            <w:tcW w:w="4979" w:type="dxa"/>
            <w:tcBorders>
              <w:top w:val="single" w:sz="4" w:space="0" w:color="auto"/>
              <w:left w:val="single" w:sz="4" w:space="0" w:color="auto"/>
              <w:bottom w:val="single" w:sz="4" w:space="0" w:color="auto"/>
              <w:right w:val="single" w:sz="4" w:space="0" w:color="auto"/>
            </w:tcBorders>
            <w:vAlign w:val="center"/>
            <w:hideMark/>
          </w:tcPr>
          <w:p w:rsidR="00AB0CC3" w:rsidRDefault="00AB0CC3">
            <w:pPr>
              <w:autoSpaceDE w:val="0"/>
              <w:autoSpaceDN w:val="0"/>
              <w:adjustRightInd w:val="0"/>
              <w:spacing w:after="120" w:line="360" w:lineRule="auto"/>
              <w:jc w:val="center"/>
              <w:rPr>
                <w:rFonts w:ascii="Times New Roman" w:hAnsi="Times New Roman" w:cs="Times New Roman"/>
                <w:b/>
                <w:szCs w:val="24"/>
                <w:lang w:eastAsia="en-US"/>
              </w:rPr>
            </w:pPr>
            <w:r>
              <w:rPr>
                <w:rFonts w:ascii="Times New Roman" w:hAnsi="Times New Roman" w:cs="Times New Roman"/>
                <w:b/>
                <w:szCs w:val="24"/>
                <w:lang w:eastAsia="en-US"/>
              </w:rPr>
              <w:t>CRITERIA</w:t>
            </w:r>
          </w:p>
        </w:tc>
      </w:tr>
      <w:tr w:rsidR="00AB0CC3" w:rsidTr="00AB0CC3">
        <w:trPr>
          <w:trHeight w:val="4847"/>
        </w:trPr>
        <w:tc>
          <w:tcPr>
            <w:tcW w:w="1043"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center"/>
              <w:rPr>
                <w:rFonts w:ascii="Times New Roman" w:hAnsi="Times New Roman" w:cs="Times New Roman"/>
                <w:szCs w:val="24"/>
                <w:lang w:eastAsia="en-US"/>
              </w:rPr>
            </w:pPr>
            <w:r>
              <w:rPr>
                <w:rFonts w:ascii="Times New Roman" w:hAnsi="Times New Roman" w:cs="Times New Roman"/>
                <w:szCs w:val="24"/>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both"/>
              <w:rPr>
                <w:rFonts w:ascii="Times New Roman" w:hAnsi="Times New Roman" w:cs="Times New Roman"/>
                <w:szCs w:val="24"/>
                <w:lang w:eastAsia="en-US"/>
              </w:rPr>
            </w:pPr>
            <w:r>
              <w:rPr>
                <w:rFonts w:ascii="Times New Roman" w:hAnsi="Times New Roman" w:cs="Times New Roman"/>
                <w:szCs w:val="24"/>
                <w:lang w:eastAsia="en-US"/>
              </w:rPr>
              <w:t>Strong</w:t>
            </w:r>
          </w:p>
        </w:tc>
        <w:tc>
          <w:tcPr>
            <w:tcW w:w="4979" w:type="dxa"/>
            <w:tcBorders>
              <w:top w:val="single" w:sz="4" w:space="0" w:color="auto"/>
              <w:left w:val="single" w:sz="4" w:space="0" w:color="auto"/>
              <w:bottom w:val="single" w:sz="4" w:space="0" w:color="auto"/>
              <w:right w:val="single" w:sz="4" w:space="0" w:color="auto"/>
            </w:tcBorders>
            <w:hideMark/>
          </w:tcPr>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Accurately interprets evidence, statements, graphics, questions, etc. </w:t>
            </w:r>
          </w:p>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Identifies the salient arguments (reasons and claims) pro and con. </w:t>
            </w:r>
          </w:p>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Thoughtfully analyzes and evaluates major alternative points of view. </w:t>
            </w:r>
          </w:p>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Draws warranted, judicious, non-fallacious conclusions. </w:t>
            </w:r>
          </w:p>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Justifies key results and procedures, and explains assumptions and reasons. </w:t>
            </w:r>
          </w:p>
          <w:p w:rsidR="00AB0CC3" w:rsidRDefault="00AB0CC3" w:rsidP="00F77ADC">
            <w:pPr>
              <w:numPr>
                <w:ilvl w:val="0"/>
                <w:numId w:val="2"/>
              </w:numPr>
              <w:tabs>
                <w:tab w:val="num" w:pos="318"/>
              </w:tabs>
              <w:spacing w:before="100" w:beforeAutospacing="1" w:after="100" w:afterAutospacing="1" w:line="360" w:lineRule="auto"/>
              <w:ind w:left="317" w:hanging="317"/>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Fair-mindedly follows where evidence and reasons lead.</w:t>
            </w:r>
          </w:p>
        </w:tc>
      </w:tr>
      <w:tr w:rsidR="00AB0CC3" w:rsidTr="00AB0CC3">
        <w:tc>
          <w:tcPr>
            <w:tcW w:w="1043"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center"/>
              <w:rPr>
                <w:rFonts w:ascii="Times New Roman" w:hAnsi="Times New Roman" w:cs="Times New Roman"/>
                <w:szCs w:val="24"/>
                <w:lang w:eastAsia="en-US"/>
              </w:rPr>
            </w:pPr>
            <w:r>
              <w:rPr>
                <w:rFonts w:ascii="Times New Roman" w:hAnsi="Times New Roman" w:cs="Times New Roman"/>
                <w:szCs w:val="24"/>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both"/>
              <w:rPr>
                <w:rFonts w:ascii="Times New Roman" w:hAnsi="Times New Roman" w:cs="Times New Roman"/>
                <w:szCs w:val="24"/>
                <w:lang w:eastAsia="en-US"/>
              </w:rPr>
            </w:pPr>
            <w:r>
              <w:rPr>
                <w:rFonts w:ascii="Times New Roman" w:hAnsi="Times New Roman" w:cs="Times New Roman"/>
                <w:szCs w:val="24"/>
                <w:lang w:eastAsia="en-US"/>
              </w:rPr>
              <w:t>Acceptable</w:t>
            </w:r>
          </w:p>
        </w:tc>
        <w:tc>
          <w:tcPr>
            <w:tcW w:w="4979" w:type="dxa"/>
            <w:tcBorders>
              <w:top w:val="single" w:sz="4" w:space="0" w:color="auto"/>
              <w:left w:val="single" w:sz="4" w:space="0" w:color="auto"/>
              <w:bottom w:val="single" w:sz="4" w:space="0" w:color="auto"/>
              <w:right w:val="single" w:sz="4" w:space="0" w:color="auto"/>
            </w:tcBorders>
            <w:hideMark/>
          </w:tcPr>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Accurately interprets evidence, statements, graphics, questions, etc. </w:t>
            </w:r>
          </w:p>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Identifies relevant arguments (reasons and claims) pro and con. </w:t>
            </w:r>
          </w:p>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Offers analyses and evaluations of obvious alternative points of view. </w:t>
            </w:r>
          </w:p>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Draws warranted, non-fallacious conclusions. </w:t>
            </w:r>
          </w:p>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Justifies some results or procedures, and explains reasons. </w:t>
            </w:r>
          </w:p>
          <w:p w:rsidR="00AB0CC3" w:rsidRDefault="00AB0CC3" w:rsidP="00F77ADC">
            <w:pPr>
              <w:pStyle w:val="ListParagraph"/>
              <w:numPr>
                <w:ilvl w:val="1"/>
                <w:numId w:val="2"/>
              </w:numPr>
              <w:spacing w:before="100" w:beforeAutospacing="1" w:after="100" w:afterAutospacing="1" w:line="360" w:lineRule="auto"/>
              <w:ind w:left="300" w:hanging="300"/>
              <w:rPr>
                <w:rFonts w:ascii="Times New Roman" w:eastAsia="Times New Roman" w:hAnsi="Times New Roman" w:cs="Times New Roman"/>
                <w:lang w:eastAsia="en-US"/>
              </w:rPr>
            </w:pPr>
            <w:r>
              <w:rPr>
                <w:rFonts w:ascii="Times New Roman" w:eastAsia="Times New Roman" w:hAnsi="Times New Roman" w:cs="Times New Roman"/>
                <w:lang w:eastAsia="en-US"/>
              </w:rPr>
              <w:t>Fair-mindedly follows where evidence and reasons lead.</w:t>
            </w:r>
          </w:p>
        </w:tc>
      </w:tr>
      <w:tr w:rsidR="00AB0CC3" w:rsidTr="00AB0CC3">
        <w:tc>
          <w:tcPr>
            <w:tcW w:w="1043"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center"/>
              <w:rPr>
                <w:rFonts w:ascii="Times New Roman" w:hAnsi="Times New Roman" w:cs="Times New Roman"/>
                <w:szCs w:val="24"/>
                <w:lang w:eastAsia="en-US"/>
              </w:rPr>
            </w:pPr>
            <w:r>
              <w:rPr>
                <w:rFonts w:ascii="Times New Roman" w:hAnsi="Times New Roman" w:cs="Times New Roman"/>
                <w:szCs w:val="24"/>
                <w:lang w:eastAsia="en-US"/>
              </w:rPr>
              <w:t>2</w:t>
            </w:r>
          </w:p>
        </w:tc>
        <w:tc>
          <w:tcPr>
            <w:tcW w:w="1650"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both"/>
              <w:rPr>
                <w:rFonts w:ascii="Times New Roman" w:hAnsi="Times New Roman" w:cs="Times New Roman"/>
                <w:szCs w:val="24"/>
                <w:lang w:eastAsia="en-US"/>
              </w:rPr>
            </w:pPr>
            <w:r>
              <w:rPr>
                <w:rFonts w:ascii="Times New Roman" w:hAnsi="Times New Roman" w:cs="Times New Roman"/>
                <w:szCs w:val="24"/>
                <w:lang w:eastAsia="en-US"/>
              </w:rPr>
              <w:t>Unacceptable</w:t>
            </w:r>
          </w:p>
        </w:tc>
        <w:tc>
          <w:tcPr>
            <w:tcW w:w="4979" w:type="dxa"/>
            <w:tcBorders>
              <w:top w:val="single" w:sz="4" w:space="0" w:color="auto"/>
              <w:left w:val="single" w:sz="4" w:space="0" w:color="auto"/>
              <w:bottom w:val="single" w:sz="4" w:space="0" w:color="auto"/>
              <w:right w:val="single" w:sz="4" w:space="0" w:color="auto"/>
            </w:tcBorders>
            <w:hideMark/>
          </w:tcPr>
          <w:p w:rsidR="00AB0CC3" w:rsidRDefault="00AB0CC3" w:rsidP="00F77ADC">
            <w:pPr>
              <w:numPr>
                <w:ilvl w:val="0"/>
                <w:numId w:val="3"/>
              </w:numPr>
              <w:tabs>
                <w:tab w:val="num" w:pos="318"/>
              </w:tabs>
              <w:spacing w:before="100" w:beforeAutospacing="1" w:after="100" w:afterAutospacing="1" w:line="360" w:lineRule="auto"/>
              <w:ind w:left="318" w:hanging="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Misinterprets evidence, statements, graphics, questions,</w:t>
            </w:r>
            <w:r>
              <w:rPr>
                <w:rFonts w:ascii="Times New Roman" w:eastAsia="Times New Roman" w:hAnsi="Times New Roman" w:cs="Times New Roman"/>
                <w:b/>
                <w:bCs/>
                <w:lang w:eastAsia="en-US"/>
              </w:rPr>
              <w:t xml:space="preserve"> </w:t>
            </w:r>
            <w:r>
              <w:rPr>
                <w:rFonts w:ascii="Times New Roman" w:eastAsia="Times New Roman" w:hAnsi="Times New Roman" w:cs="Times New Roman"/>
                <w:bCs/>
                <w:lang w:eastAsia="en-US"/>
              </w:rPr>
              <w:t>etc.</w:t>
            </w:r>
          </w:p>
          <w:p w:rsidR="00AB0CC3" w:rsidRDefault="00AB0CC3" w:rsidP="00F77ADC">
            <w:pPr>
              <w:numPr>
                <w:ilvl w:val="0"/>
                <w:numId w:val="3"/>
              </w:numPr>
              <w:tabs>
                <w:tab w:val="num" w:pos="318"/>
              </w:tabs>
              <w:spacing w:before="100" w:beforeAutospacing="1" w:after="100" w:afterAutospacing="1" w:line="360" w:lineRule="auto"/>
              <w:ind w:left="318" w:hanging="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Fails to identify strong, relevant counter-arguments. </w:t>
            </w:r>
          </w:p>
          <w:p w:rsidR="00AB0CC3" w:rsidRDefault="00AB0CC3" w:rsidP="00F77ADC">
            <w:pPr>
              <w:numPr>
                <w:ilvl w:val="0"/>
                <w:numId w:val="3"/>
              </w:numPr>
              <w:tabs>
                <w:tab w:val="num" w:pos="318"/>
              </w:tabs>
              <w:spacing w:before="100" w:beforeAutospacing="1" w:after="100" w:afterAutospacing="1" w:line="360" w:lineRule="auto"/>
              <w:ind w:left="318" w:hanging="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Ignores or superficially evaluates obvious alternative points of view. </w:t>
            </w:r>
          </w:p>
          <w:p w:rsidR="00AB0CC3" w:rsidRDefault="00AB0CC3" w:rsidP="00F77ADC">
            <w:pPr>
              <w:numPr>
                <w:ilvl w:val="0"/>
                <w:numId w:val="3"/>
              </w:numPr>
              <w:tabs>
                <w:tab w:val="num" w:pos="318"/>
              </w:tabs>
              <w:spacing w:before="100" w:beforeAutospacing="1" w:after="100" w:afterAutospacing="1" w:line="360" w:lineRule="auto"/>
              <w:ind w:left="318" w:hanging="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Draws unwarranted or fallacious conclusions. </w:t>
            </w:r>
          </w:p>
          <w:p w:rsidR="00AB0CC3" w:rsidRDefault="00AB0CC3" w:rsidP="00F77ADC">
            <w:pPr>
              <w:numPr>
                <w:ilvl w:val="0"/>
                <w:numId w:val="3"/>
              </w:numPr>
              <w:tabs>
                <w:tab w:val="num" w:pos="318"/>
              </w:tabs>
              <w:spacing w:before="100" w:beforeAutospacing="1" w:after="100" w:afterAutospacing="1" w:line="360" w:lineRule="auto"/>
              <w:ind w:left="318" w:hanging="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Justifies few results or procedures, seldom </w:t>
            </w:r>
            <w:r>
              <w:rPr>
                <w:rFonts w:ascii="Times New Roman" w:eastAsia="Times New Roman" w:hAnsi="Times New Roman" w:cs="Times New Roman"/>
                <w:lang w:eastAsia="en-US"/>
              </w:rPr>
              <w:lastRenderedPageBreak/>
              <w:t xml:space="preserve">explains reasons. Regardless of the evidence or reasons, maintains or defends views based on self-interest or preconceptions. </w:t>
            </w:r>
          </w:p>
        </w:tc>
      </w:tr>
      <w:tr w:rsidR="00AB0CC3" w:rsidTr="00AB0CC3">
        <w:tc>
          <w:tcPr>
            <w:tcW w:w="1043"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center"/>
              <w:rPr>
                <w:rFonts w:ascii="Times New Roman" w:hAnsi="Times New Roman" w:cs="Times New Roman"/>
                <w:szCs w:val="24"/>
                <w:lang w:eastAsia="en-US"/>
              </w:rPr>
            </w:pPr>
            <w:r>
              <w:rPr>
                <w:rFonts w:ascii="Times New Roman" w:hAnsi="Times New Roman" w:cs="Times New Roman"/>
                <w:szCs w:val="24"/>
                <w:lang w:eastAsia="en-US"/>
              </w:rPr>
              <w:lastRenderedPageBreak/>
              <w:t>1</w:t>
            </w:r>
          </w:p>
        </w:tc>
        <w:tc>
          <w:tcPr>
            <w:tcW w:w="1650" w:type="dxa"/>
            <w:tcBorders>
              <w:top w:val="single" w:sz="4" w:space="0" w:color="auto"/>
              <w:left w:val="single" w:sz="4" w:space="0" w:color="auto"/>
              <w:bottom w:val="single" w:sz="4" w:space="0" w:color="auto"/>
              <w:right w:val="single" w:sz="4" w:space="0" w:color="auto"/>
            </w:tcBorders>
            <w:hideMark/>
          </w:tcPr>
          <w:p w:rsidR="00AB0CC3" w:rsidRDefault="00AB0CC3">
            <w:pPr>
              <w:autoSpaceDE w:val="0"/>
              <w:autoSpaceDN w:val="0"/>
              <w:adjustRightInd w:val="0"/>
              <w:spacing w:line="360" w:lineRule="auto"/>
              <w:jc w:val="both"/>
              <w:rPr>
                <w:rFonts w:ascii="Times New Roman" w:hAnsi="Times New Roman" w:cs="Times New Roman"/>
                <w:szCs w:val="24"/>
                <w:lang w:eastAsia="en-US"/>
              </w:rPr>
            </w:pPr>
            <w:r>
              <w:rPr>
                <w:rFonts w:ascii="Times New Roman" w:hAnsi="Times New Roman" w:cs="Times New Roman"/>
                <w:szCs w:val="24"/>
                <w:lang w:eastAsia="en-US"/>
              </w:rPr>
              <w:t>Significantly Weak</w:t>
            </w:r>
          </w:p>
        </w:tc>
        <w:tc>
          <w:tcPr>
            <w:tcW w:w="4979" w:type="dxa"/>
            <w:tcBorders>
              <w:top w:val="single" w:sz="4" w:space="0" w:color="auto"/>
              <w:left w:val="single" w:sz="4" w:space="0" w:color="auto"/>
              <w:bottom w:val="single" w:sz="4" w:space="0" w:color="auto"/>
              <w:right w:val="single" w:sz="4" w:space="0" w:color="auto"/>
            </w:tcBorders>
            <w:hideMark/>
          </w:tcPr>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Offers biased interpretations of evidence, statements, graphics, questions, information, or the points of view of others. </w:t>
            </w:r>
          </w:p>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Fails to identify or hastily dismiss strong, relevant counter-arguments. </w:t>
            </w:r>
          </w:p>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Ignores or superficially evaluates obvious alternative points of view. </w:t>
            </w:r>
          </w:p>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Argues using fallacious or irrelevant reasons, and unwarranted claims. </w:t>
            </w:r>
          </w:p>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Does not justify results or procedures, nor explain reasons. </w:t>
            </w:r>
          </w:p>
          <w:p w:rsidR="00AB0CC3" w:rsidRDefault="00AB0CC3" w:rsidP="00F77ADC">
            <w:pPr>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Regardless of the evidence or reasons, maintains or defends views based on self-interest or preconceptions. </w:t>
            </w:r>
          </w:p>
          <w:p w:rsidR="00AB0CC3" w:rsidRDefault="00AB0CC3" w:rsidP="00F77ADC">
            <w:pPr>
              <w:keepNext/>
              <w:numPr>
                <w:ilvl w:val="0"/>
                <w:numId w:val="4"/>
              </w:numPr>
              <w:tabs>
                <w:tab w:val="num" w:pos="459"/>
              </w:tabs>
              <w:spacing w:before="100" w:beforeAutospacing="1" w:after="100" w:afterAutospacing="1" w:line="360" w:lineRule="auto"/>
              <w:ind w:left="318"/>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Exhibits close-mindedness or hostility to reason.</w:t>
            </w:r>
          </w:p>
        </w:tc>
      </w:tr>
    </w:tbl>
    <w:p w:rsidR="00AB0CC3" w:rsidRDefault="00AB0CC3" w:rsidP="00AB0CC3">
      <w:pPr>
        <w:pStyle w:val="Caption"/>
        <w:spacing w:before="120"/>
        <w:jc w:val="center"/>
        <w:rPr>
          <w:rFonts w:ascii="Times New Roman" w:hAnsi="Times New Roman" w:cs="Times New Roman"/>
          <w:color w:val="auto"/>
          <w:sz w:val="22"/>
          <w:szCs w:val="22"/>
        </w:rPr>
      </w:pPr>
      <w:bookmarkStart w:id="64" w:name="_Toc111486207"/>
      <w:bookmarkStart w:id="65" w:name="_Toc110924205"/>
      <w:bookmarkStart w:id="66" w:name="_Toc110924158"/>
      <w:bookmarkStart w:id="67" w:name="_Toc110924088"/>
      <w:bookmarkStart w:id="68" w:name="_Toc110922443"/>
      <w:bookmarkStart w:id="69" w:name="_Toc114107856"/>
      <w:bookmarkStart w:id="70" w:name="_Toc109292454"/>
      <w:bookmarkStart w:id="71" w:name="_Toc109292362"/>
      <w:bookmarkStart w:id="72" w:name="_Toc109292298"/>
      <w:bookmarkStart w:id="73" w:name="_Toc109292117"/>
      <w:bookmarkStart w:id="74" w:name="_Toc109211399"/>
      <w:bookmarkStart w:id="75" w:name="_Toc109211055"/>
      <w:bookmarkStart w:id="76" w:name="_Toc109210774"/>
      <w:bookmarkStart w:id="77" w:name="_Toc109210613"/>
      <w:r>
        <w:rPr>
          <w:rFonts w:ascii="Times New Roman" w:hAnsi="Times New Roman" w:cs="Times New Roman"/>
          <w:color w:val="auto"/>
          <w:sz w:val="22"/>
          <w:szCs w:val="22"/>
        </w:rPr>
        <w:t>Table 3.</w:t>
      </w:r>
      <w:r>
        <w:fldChar w:fldCharType="begin"/>
      </w:r>
      <w:r>
        <w:rPr>
          <w:rFonts w:ascii="Times New Roman" w:hAnsi="Times New Roman" w:cs="Times New Roman"/>
          <w:color w:val="auto"/>
          <w:sz w:val="22"/>
          <w:szCs w:val="22"/>
        </w:rPr>
        <w:instrText xml:space="preserve"> SEQ Table \* ARABIC \s 1 </w:instrText>
      </w:r>
      <w:r>
        <w:fldChar w:fldCharType="separate"/>
      </w:r>
      <w:r>
        <w:rPr>
          <w:rFonts w:ascii="Times New Roman" w:hAnsi="Times New Roman" w:cs="Times New Roman"/>
          <w:noProof/>
          <w:color w:val="auto"/>
          <w:sz w:val="22"/>
          <w:szCs w:val="22"/>
        </w:rPr>
        <w:t>1</w:t>
      </w:r>
      <w:r>
        <w:fldChar w:fldCharType="end"/>
      </w:r>
      <w:r>
        <w:rPr>
          <w:rFonts w:ascii="Times New Roman" w:hAnsi="Times New Roman" w:cs="Times New Roman"/>
          <w:color w:val="auto"/>
          <w:sz w:val="22"/>
          <w:szCs w:val="22"/>
        </w:rPr>
        <w:t xml:space="preserve"> </w:t>
      </w:r>
      <w:r>
        <w:rPr>
          <w:rFonts w:ascii="Times New Roman" w:hAnsi="Times New Roman" w:cs="Times New Roman"/>
          <w:b w:val="0"/>
          <w:color w:val="auto"/>
          <w:sz w:val="22"/>
          <w:szCs w:val="22"/>
        </w:rPr>
        <w:t xml:space="preserve">The Holistic Critical Thinking Scoring Rubric </w:t>
      </w:r>
      <w:bookmarkEnd w:id="64"/>
      <w:bookmarkEnd w:id="65"/>
      <w:bookmarkEnd w:id="66"/>
      <w:bookmarkEnd w:id="67"/>
      <w:bookmarkEnd w:id="68"/>
      <w:r>
        <w:fldChar w:fldCharType="begin" w:fldLock="1"/>
      </w:r>
      <w:r>
        <w:rPr>
          <w:rFonts w:ascii="Times New Roman" w:hAnsi="Times New Roman" w:cs="Times New Roman"/>
          <w:b w:val="0"/>
          <w:color w:val="auto"/>
          <w:sz w:val="22"/>
          <w:szCs w:val="22"/>
        </w:rPr>
        <w:instrText>ADDIN CSL_CITATION {"citationItems":[{"id":"ITEM-1","itemData":{"author":[{"dropping-particle":"","family":"Facione","given":"Peter A","non-dropping-particle":"","parse-names":false,"suffix":""}],"container-title":"Critical Thinking and Clinical Reasoning in the Health Sciences: An International Multidisciplinary Teaching Anthology","id":"ITEM-1","issued":{"date-parts":[["2016"]]},"page":"1-5","title":"Using the holistic critical thinking scoring rubric to train the discovery of evidence of critical thinking","type":"article-journal"},"uris":["http://www.mendeley.com/documents/?uuid=9de5d177-0056-44dd-9c5c-08762309b187"]}],"mendeley":{"formattedCitation":"(P. A. Facione, 2016)","manualFormatting":"(Facione, 2016)","plainTextFormattedCitation":"(P. A. Facione, 2016)","previouslyFormattedCitation":"(P. A. Facione, 2016)"},"properties":{"noteIndex":0},"schema":"https://github.com/citation-style-language/schema/raw/master/csl-citation.json"}</w:instrText>
      </w:r>
      <w:r>
        <w:fldChar w:fldCharType="separate"/>
      </w:r>
      <w:r>
        <w:rPr>
          <w:rFonts w:ascii="Times New Roman" w:hAnsi="Times New Roman" w:cs="Times New Roman"/>
          <w:b w:val="0"/>
          <w:noProof/>
          <w:color w:val="auto"/>
          <w:sz w:val="22"/>
          <w:szCs w:val="22"/>
        </w:rPr>
        <w:t>(Facione, 2016)</w:t>
      </w:r>
      <w:bookmarkEnd w:id="69"/>
      <w:r>
        <w:fldChar w:fldCharType="end"/>
      </w:r>
    </w:p>
    <w:bookmarkEnd w:id="70"/>
    <w:bookmarkEnd w:id="71"/>
    <w:bookmarkEnd w:id="72"/>
    <w:bookmarkEnd w:id="73"/>
    <w:bookmarkEnd w:id="74"/>
    <w:bookmarkEnd w:id="75"/>
    <w:bookmarkEnd w:id="76"/>
    <w:bookmarkEnd w:id="77"/>
    <w:p w:rsidR="00AB0CC3" w:rsidRDefault="00AB0CC3" w:rsidP="00AB0CC3">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data analyzed were described by relating it to the related theories to finally be given categories according to the rubric. The final result of the analysis process is the categories that will be assigned to each participant's argumentative text.</w:t>
      </w:r>
    </w:p>
    <w:p w:rsidR="00AB0CC3" w:rsidRDefault="00AB0CC3" w:rsidP="00AB0CC3">
      <w:pPr>
        <w:pStyle w:val="Heading2"/>
        <w:spacing w:before="120" w:after="0"/>
        <w:ind w:left="425" w:hanging="425"/>
        <w:contextualSpacing/>
      </w:pPr>
      <w:bookmarkStart w:id="78" w:name="_Toc114107776"/>
      <w:bookmarkStart w:id="79" w:name="_Toc111620156"/>
      <w:r>
        <w:t>Research Procedure</w:t>
      </w:r>
      <w:bookmarkEnd w:id="78"/>
      <w:bookmarkEnd w:id="79"/>
    </w:p>
    <w:p w:rsidR="00AB0CC3" w:rsidRDefault="00AB0CC3" w:rsidP="00AB0CC3">
      <w:pPr>
        <w:spacing w:after="0" w:line="360" w:lineRule="auto"/>
        <w:jc w:val="both"/>
        <w:rPr>
          <w:rFonts w:ascii="Times New Roman" w:hAnsi="Times New Roman" w:cs="Times New Roman"/>
          <w:sz w:val="24"/>
        </w:rPr>
      </w:pPr>
      <w:r>
        <w:rPr>
          <w:rFonts w:ascii="Times New Roman" w:hAnsi="Times New Roman" w:cs="Times New Roman"/>
          <w:sz w:val="24"/>
        </w:rPr>
        <w:t>A series of the research procedures utilized in this study are described in detail, such as:</w:t>
      </w:r>
    </w:p>
    <w:p w:rsidR="00AB0CC3" w:rsidRDefault="00AB0CC3" w:rsidP="00AB0CC3">
      <w:pPr>
        <w:pStyle w:val="ListParagraph"/>
        <w:numPr>
          <w:ilvl w:val="6"/>
          <w:numId w:val="1"/>
        </w:numPr>
        <w:tabs>
          <w:tab w:val="left" w:pos="284"/>
        </w:tabs>
        <w:spacing w:after="0" w:line="360" w:lineRule="auto"/>
        <w:ind w:left="0" w:firstLine="0"/>
        <w:jc w:val="both"/>
        <w:rPr>
          <w:rFonts w:ascii="Times New Roman" w:hAnsi="Times New Roman" w:cs="Times New Roman"/>
          <w:sz w:val="24"/>
        </w:rPr>
      </w:pPr>
      <w:r>
        <w:rPr>
          <w:rFonts w:ascii="Times New Roman" w:hAnsi="Times New Roman" w:cs="Times New Roman"/>
          <w:sz w:val="24"/>
        </w:rPr>
        <w:t>Preparing the research procedures.</w:t>
      </w:r>
    </w:p>
    <w:p w:rsidR="00AB0CC3" w:rsidRDefault="00AB0CC3" w:rsidP="00AB0CC3">
      <w:pPr>
        <w:pStyle w:val="ListParagraph"/>
        <w:numPr>
          <w:ilvl w:val="6"/>
          <w:numId w:val="1"/>
        </w:numPr>
        <w:tabs>
          <w:tab w:val="left" w:pos="284"/>
        </w:tabs>
        <w:spacing w:after="0" w:line="360" w:lineRule="auto"/>
        <w:ind w:left="0" w:firstLine="0"/>
        <w:jc w:val="both"/>
        <w:rPr>
          <w:rFonts w:ascii="Times New Roman" w:hAnsi="Times New Roman" w:cs="Times New Roman"/>
          <w:sz w:val="24"/>
        </w:rPr>
      </w:pPr>
      <w:r>
        <w:rPr>
          <w:rFonts w:ascii="Times New Roman" w:hAnsi="Times New Roman" w:cs="Times New Roman"/>
          <w:sz w:val="24"/>
        </w:rPr>
        <w:t>Finding the research problem.</w:t>
      </w:r>
    </w:p>
    <w:p w:rsidR="00AB0CC3" w:rsidRDefault="00AB0CC3" w:rsidP="00AB0CC3">
      <w:pPr>
        <w:pStyle w:val="ListParagraph"/>
        <w:numPr>
          <w:ilvl w:val="6"/>
          <w:numId w:val="1"/>
        </w:numPr>
        <w:tabs>
          <w:tab w:val="left" w:pos="284"/>
        </w:tabs>
        <w:spacing w:after="0" w:line="360" w:lineRule="auto"/>
        <w:ind w:left="0" w:firstLine="0"/>
        <w:jc w:val="both"/>
        <w:rPr>
          <w:rFonts w:ascii="Times New Roman" w:hAnsi="Times New Roman" w:cs="Times New Roman"/>
          <w:sz w:val="24"/>
        </w:rPr>
      </w:pPr>
      <w:r>
        <w:rPr>
          <w:rFonts w:ascii="Times New Roman" w:hAnsi="Times New Roman" w:cs="Times New Roman"/>
          <w:sz w:val="24"/>
        </w:rPr>
        <w:t>Finding out the literature review based on the topic of the research.</w:t>
      </w:r>
    </w:p>
    <w:p w:rsidR="00AB0CC3" w:rsidRDefault="00AB0CC3" w:rsidP="00AB0CC3">
      <w:pPr>
        <w:pStyle w:val="ListParagraph"/>
        <w:numPr>
          <w:ilvl w:val="6"/>
          <w:numId w:val="1"/>
        </w:numPr>
        <w:tabs>
          <w:tab w:val="left" w:pos="284"/>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Determining the research method and research design that are suitable for this research. This research used  a qualitative descriptive design.</w:t>
      </w:r>
    </w:p>
    <w:p w:rsidR="00AB0CC3" w:rsidRDefault="00AB0CC3" w:rsidP="00AB0CC3">
      <w:pPr>
        <w:pStyle w:val="ListParagraph"/>
        <w:numPr>
          <w:ilvl w:val="6"/>
          <w:numId w:val="1"/>
        </w:numPr>
        <w:tabs>
          <w:tab w:val="left" w:pos="284"/>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Determining the research instrument. This research used documentation as an instrument.</w:t>
      </w:r>
    </w:p>
    <w:p w:rsidR="00AB0CC3" w:rsidRDefault="00AB0CC3" w:rsidP="00AB0CC3">
      <w:pPr>
        <w:pStyle w:val="ListParagraph"/>
        <w:numPr>
          <w:ilvl w:val="6"/>
          <w:numId w:val="1"/>
        </w:numPr>
        <w:tabs>
          <w:tab w:val="left" w:pos="284"/>
        </w:tabs>
        <w:spacing w:after="0"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Proposing the permission to the institution where the research conducted. This research conducted in one university in Garut.</w:t>
      </w:r>
    </w:p>
    <w:p w:rsidR="00AB0CC3" w:rsidRDefault="00AB0CC3" w:rsidP="00AB0CC3">
      <w:pPr>
        <w:pStyle w:val="ListParagraph"/>
        <w:numPr>
          <w:ilvl w:val="6"/>
          <w:numId w:val="1"/>
        </w:numPr>
        <w:tabs>
          <w:tab w:val="left" w:pos="284"/>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Conducting briefing to the population. The population of this research is all of the students at fourth semester of English Department of one university in Garut.</w:t>
      </w:r>
    </w:p>
    <w:p w:rsidR="00AB0CC3" w:rsidRDefault="00AB0CC3" w:rsidP="00AB0CC3">
      <w:pPr>
        <w:pStyle w:val="ListParagraph"/>
        <w:numPr>
          <w:ilvl w:val="6"/>
          <w:numId w:val="1"/>
        </w:numPr>
        <w:tabs>
          <w:tab w:val="left" w:pos="284"/>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Selecting the participants. The participants were eight students at fourth semester of English Department of one university in Garut.</w:t>
      </w:r>
    </w:p>
    <w:p w:rsidR="00AB0CC3" w:rsidRDefault="00AB0CC3" w:rsidP="00AB0CC3">
      <w:pPr>
        <w:pStyle w:val="ListParagraph"/>
        <w:numPr>
          <w:ilvl w:val="6"/>
          <w:numId w:val="1"/>
        </w:numPr>
        <w:tabs>
          <w:tab w:val="left" w:pos="284"/>
        </w:tabs>
        <w:spacing w:after="0" w:line="360" w:lineRule="auto"/>
        <w:ind w:left="0" w:firstLine="0"/>
        <w:jc w:val="both"/>
        <w:rPr>
          <w:rFonts w:ascii="Times New Roman" w:hAnsi="Times New Roman" w:cs="Times New Roman"/>
          <w:sz w:val="24"/>
        </w:rPr>
      </w:pPr>
      <w:r>
        <w:rPr>
          <w:rFonts w:ascii="Times New Roman" w:hAnsi="Times New Roman" w:cs="Times New Roman"/>
          <w:sz w:val="24"/>
        </w:rPr>
        <w:t>Collecting the data through Google Form.</w:t>
      </w:r>
    </w:p>
    <w:p w:rsidR="00AB0CC3" w:rsidRDefault="00AB0CC3" w:rsidP="00AB0CC3">
      <w:pPr>
        <w:pStyle w:val="ListParagraph"/>
        <w:numPr>
          <w:ilvl w:val="6"/>
          <w:numId w:val="1"/>
        </w:numPr>
        <w:tabs>
          <w:tab w:val="left" w:pos="426"/>
        </w:tabs>
        <w:spacing w:after="0" w:line="360" w:lineRule="auto"/>
        <w:ind w:left="0" w:firstLine="0"/>
        <w:jc w:val="both"/>
        <w:rPr>
          <w:rFonts w:ascii="Times New Roman" w:hAnsi="Times New Roman" w:cs="Times New Roman"/>
          <w:sz w:val="24"/>
        </w:rPr>
      </w:pPr>
      <w:r>
        <w:rPr>
          <w:rFonts w:ascii="Times New Roman" w:hAnsi="Times New Roman" w:cs="Times New Roman"/>
          <w:sz w:val="24"/>
        </w:rPr>
        <w:t>Coding the data.</w:t>
      </w:r>
    </w:p>
    <w:p w:rsidR="00AB0CC3" w:rsidRDefault="00AB0CC3" w:rsidP="00AB0CC3">
      <w:pPr>
        <w:pStyle w:val="ListParagraph"/>
        <w:numPr>
          <w:ilvl w:val="6"/>
          <w:numId w:val="1"/>
        </w:numPr>
        <w:tabs>
          <w:tab w:val="left" w:pos="0"/>
          <w:tab w:val="left" w:pos="142"/>
          <w:tab w:val="left" w:pos="284"/>
          <w:tab w:val="left" w:pos="426"/>
        </w:tabs>
        <w:spacing w:after="0" w:line="360" w:lineRule="auto"/>
        <w:ind w:left="0" w:firstLine="0"/>
        <w:jc w:val="both"/>
        <w:rPr>
          <w:rFonts w:ascii="Times New Roman" w:hAnsi="Times New Roman" w:cs="Times New Roman"/>
          <w:sz w:val="24"/>
        </w:rPr>
      </w:pPr>
      <w:r>
        <w:rPr>
          <w:rFonts w:ascii="Times New Roman" w:hAnsi="Times New Roman" w:cs="Times New Roman"/>
          <w:sz w:val="24"/>
        </w:rPr>
        <w:t>Integrating the findings into a brief information.</w:t>
      </w:r>
    </w:p>
    <w:p w:rsidR="00AB0CC3" w:rsidRDefault="00AB0CC3" w:rsidP="00AB0CC3">
      <w:pPr>
        <w:pStyle w:val="ListParagraph"/>
        <w:numPr>
          <w:ilvl w:val="6"/>
          <w:numId w:val="1"/>
        </w:numPr>
        <w:tabs>
          <w:tab w:val="left" w:pos="142"/>
          <w:tab w:val="left" w:pos="284"/>
          <w:tab w:val="left" w:pos="426"/>
        </w:tabs>
        <w:spacing w:after="0" w:line="360" w:lineRule="auto"/>
        <w:ind w:left="0" w:firstLine="0"/>
        <w:jc w:val="both"/>
        <w:rPr>
          <w:rFonts w:ascii="Times New Roman" w:hAnsi="Times New Roman" w:cs="Times New Roman"/>
          <w:sz w:val="24"/>
        </w:rPr>
      </w:pPr>
      <w:r>
        <w:rPr>
          <w:rFonts w:ascii="Times New Roman" w:hAnsi="Times New Roman" w:cs="Times New Roman"/>
          <w:sz w:val="24"/>
        </w:rPr>
        <w:t>Drawing conclusion.</w:t>
      </w:r>
    </w:p>
    <w:p w:rsidR="0011302A" w:rsidRDefault="0011302A"/>
    <w:sectPr w:rsidR="0011302A" w:rsidSect="00AB0CC3">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6155C"/>
    <w:multiLevelType w:val="multilevel"/>
    <w:tmpl w:val="2D0ED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1AA6909"/>
    <w:multiLevelType w:val="multilevel"/>
    <w:tmpl w:val="B6AC939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82743EA"/>
    <w:multiLevelType w:val="multilevel"/>
    <w:tmpl w:val="EB64EA66"/>
    <w:lvl w:ilvl="0">
      <w:start w:val="1"/>
      <w:numFmt w:val="upperRoman"/>
      <w:pStyle w:val="Heading1"/>
      <w:suff w:val="nothing"/>
      <w:lvlText w:val="CHAPTER %1"/>
      <w:lvlJc w:val="left"/>
      <w:pPr>
        <w:ind w:left="360" w:hanging="360"/>
      </w:pPr>
    </w:lvl>
    <w:lvl w:ilvl="1">
      <w:start w:val="1"/>
      <w:numFmt w:val="decimal"/>
      <w:pStyle w:val="Heading2"/>
      <w:isLgl/>
      <w:suff w:val="space"/>
      <w:lvlText w:val="%1.%2"/>
      <w:lvlJc w:val="left"/>
      <w:pPr>
        <w:ind w:left="720" w:hanging="360"/>
      </w:pPr>
    </w:lvl>
    <w:lvl w:ilvl="2">
      <w:start w:val="1"/>
      <w:numFmt w:val="decimal"/>
      <w:pStyle w:val="Heading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A804504"/>
    <w:multiLevelType w:val="multilevel"/>
    <w:tmpl w:val="E5242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C3"/>
    <w:rsid w:val="00051A14"/>
    <w:rsid w:val="0011302A"/>
    <w:rsid w:val="00190198"/>
    <w:rsid w:val="005A12FF"/>
    <w:rsid w:val="00987FC8"/>
    <w:rsid w:val="00AB0CC3"/>
    <w:rsid w:val="00B8157B"/>
    <w:rsid w:val="00F41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C3"/>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AB0CC3"/>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AB0CC3"/>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AB0CC3"/>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CC3"/>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AB0CC3"/>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AB0CC3"/>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AB0CC3"/>
    <w:pPr>
      <w:ind w:left="720"/>
      <w:contextualSpacing/>
    </w:pPr>
  </w:style>
  <w:style w:type="paragraph" w:styleId="Caption">
    <w:name w:val="caption"/>
    <w:basedOn w:val="Normal"/>
    <w:next w:val="Normal"/>
    <w:uiPriority w:val="35"/>
    <w:semiHidden/>
    <w:unhideWhenUsed/>
    <w:qFormat/>
    <w:rsid w:val="00AB0CC3"/>
    <w:pPr>
      <w:spacing w:after="200" w:line="240" w:lineRule="auto"/>
    </w:pPr>
    <w:rPr>
      <w:b/>
      <w:bCs/>
      <w:color w:val="4F81BD" w:themeColor="accent1"/>
      <w:sz w:val="18"/>
      <w:szCs w:val="18"/>
    </w:rPr>
  </w:style>
  <w:style w:type="table" w:styleId="TableGrid">
    <w:name w:val="Table Grid"/>
    <w:basedOn w:val="TableNormal"/>
    <w:uiPriority w:val="39"/>
    <w:rsid w:val="00AB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C3"/>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AB0CC3"/>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AB0CC3"/>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AB0CC3"/>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CC3"/>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AB0CC3"/>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AB0CC3"/>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AB0CC3"/>
    <w:pPr>
      <w:ind w:left="720"/>
      <w:contextualSpacing/>
    </w:pPr>
  </w:style>
  <w:style w:type="paragraph" w:styleId="Caption">
    <w:name w:val="caption"/>
    <w:basedOn w:val="Normal"/>
    <w:next w:val="Normal"/>
    <w:uiPriority w:val="35"/>
    <w:semiHidden/>
    <w:unhideWhenUsed/>
    <w:qFormat/>
    <w:rsid w:val="00AB0CC3"/>
    <w:pPr>
      <w:spacing w:after="200" w:line="240" w:lineRule="auto"/>
    </w:pPr>
    <w:rPr>
      <w:b/>
      <w:bCs/>
      <w:color w:val="4F81BD" w:themeColor="accent1"/>
      <w:sz w:val="18"/>
      <w:szCs w:val="18"/>
    </w:rPr>
  </w:style>
  <w:style w:type="table" w:styleId="TableGrid">
    <w:name w:val="Table Grid"/>
    <w:basedOn w:val="TableNormal"/>
    <w:uiPriority w:val="39"/>
    <w:rsid w:val="00AB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1</cp:revision>
  <dcterms:created xsi:type="dcterms:W3CDTF">2022-11-02T13:03:00Z</dcterms:created>
  <dcterms:modified xsi:type="dcterms:W3CDTF">2022-11-02T13:03:00Z</dcterms:modified>
</cp:coreProperties>
</file>